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60"/>
        </w:tabs>
        <w:spacing w:line="590" w:lineRule="exact"/>
        <w:jc w:val="center"/>
        <w:rPr>
          <w:rFonts w:hint="eastAsia" w:ascii="方正小标宋简体" w:eastAsia="方正小标宋简体"/>
          <w:kern w:val="2"/>
          <w:sz w:val="44"/>
          <w:szCs w:val="44"/>
          <w:lang w:val="en-US" w:eastAsia="zh-CN" w:bidi="ar-SA"/>
        </w:rPr>
      </w:pPr>
      <w:r>
        <w:rPr>
          <w:rFonts w:hint="eastAsia" w:ascii="方正小标宋简体" w:eastAsia="方正小标宋简体"/>
          <w:kern w:val="2"/>
          <w:sz w:val="44"/>
          <w:szCs w:val="44"/>
          <w:lang w:val="en-US" w:eastAsia="zh-CN" w:bidi="ar-SA"/>
        </w:rPr>
        <w:t>中马钦州产业园区启动区清真产业园</w:t>
      </w:r>
    </w:p>
    <w:p>
      <w:pPr>
        <w:tabs>
          <w:tab w:val="left" w:pos="860"/>
        </w:tabs>
        <w:spacing w:line="590" w:lineRule="exact"/>
        <w:jc w:val="center"/>
        <w:rPr>
          <w:rFonts w:hint="eastAsia" w:ascii="方正小标宋简体" w:hAnsi="Times New Roman" w:eastAsia="方正小标宋简体" w:cs="Times New Roman"/>
          <w:kern w:val="2"/>
          <w:sz w:val="44"/>
          <w:szCs w:val="44"/>
          <w:lang w:val="en-US" w:eastAsia="zh-CN" w:bidi="ar-SA"/>
        </w:rPr>
      </w:pPr>
      <w:r>
        <w:rPr>
          <w:rFonts w:hint="eastAsia" w:ascii="方正小标宋简体" w:eastAsia="方正小标宋简体"/>
          <w:kern w:val="2"/>
          <w:sz w:val="44"/>
          <w:szCs w:val="44"/>
          <w:lang w:val="en-US" w:eastAsia="zh-CN" w:bidi="ar-SA"/>
        </w:rPr>
        <w:t>项目</w:t>
      </w:r>
      <w:r>
        <w:rPr>
          <w:rFonts w:hint="eastAsia" w:ascii="方正小标宋简体" w:hAnsi="Times New Roman" w:eastAsia="方正小标宋简体" w:cs="Times New Roman"/>
          <w:kern w:val="2"/>
          <w:sz w:val="44"/>
          <w:szCs w:val="44"/>
          <w:lang w:val="en-US" w:eastAsia="zh-CN" w:bidi="ar-SA"/>
        </w:rPr>
        <w:t>建议书编制服务</w:t>
      </w:r>
      <w:bookmarkStart w:id="0" w:name="_GoBack"/>
      <w:r>
        <w:rPr>
          <w:rFonts w:hint="eastAsia" w:ascii="方正小标宋简体" w:hAnsi="Times New Roman" w:eastAsia="方正小标宋简体" w:cs="Times New Roman"/>
          <w:kern w:val="2"/>
          <w:sz w:val="44"/>
          <w:szCs w:val="44"/>
          <w:lang w:val="en-US" w:eastAsia="zh-CN" w:bidi="ar-SA"/>
        </w:rPr>
        <w:t>控制价计算书</w:t>
      </w:r>
    </w:p>
    <w:bookmarkEnd w:id="0"/>
    <w:p>
      <w:pPr>
        <w:tabs>
          <w:tab w:val="left" w:pos="860"/>
        </w:tabs>
        <w:spacing w:line="590" w:lineRule="exact"/>
        <w:ind w:firstLine="880" w:firstLineChars="200"/>
        <w:jc w:val="center"/>
        <w:rPr>
          <w:rFonts w:hint="eastAsia" w:ascii="方正小标宋简体" w:hAnsi="Times New Roman" w:eastAsia="方正小标宋简体" w:cs="Times New Roman"/>
          <w:kern w:val="2"/>
          <w:sz w:val="44"/>
          <w:szCs w:val="44"/>
          <w:lang w:val="en-US" w:eastAsia="zh-CN" w:bidi="ar-SA"/>
        </w:rPr>
      </w:pPr>
    </w:p>
    <w:p>
      <w:pPr>
        <w:keepNext w:val="0"/>
        <w:keepLines w:val="0"/>
        <w:pageBreakBefore w:val="0"/>
        <w:widowControl w:val="0"/>
        <w:tabs>
          <w:tab w:val="left" w:pos="860"/>
        </w:tabs>
        <w:kinsoku/>
        <w:wordWrap/>
        <w:overflowPunct/>
        <w:topLinePunct w:val="0"/>
        <w:autoSpaceDE/>
        <w:autoSpaceDN/>
        <w:bidi w:val="0"/>
        <w:adjustRightInd/>
        <w:snapToGrid/>
        <w:spacing w:line="440" w:lineRule="exact"/>
        <w:ind w:left="0" w:leftChars="0" w:right="0" w:rightChars="0" w:firstLine="640" w:firstLineChars="200"/>
        <w:jc w:val="both"/>
        <w:textAlignment w:val="auto"/>
        <w:rPr>
          <w:rFonts w:hint="eastAsia" w:ascii="黑体" w:hAnsi="黑体" w:eastAsia="黑体"/>
          <w:bCs/>
          <w:sz w:val="32"/>
          <w:szCs w:val="32"/>
        </w:rPr>
      </w:pPr>
      <w:r>
        <w:rPr>
          <w:rFonts w:hint="eastAsia" w:ascii="黑体" w:hAnsi="黑体" w:eastAsia="黑体"/>
          <w:bCs/>
          <w:sz w:val="32"/>
          <w:szCs w:val="32"/>
        </w:rPr>
        <w:t>一、</w:t>
      </w:r>
      <w:r>
        <w:rPr>
          <w:rFonts w:hint="eastAsia" w:ascii="黑体" w:hAnsi="黑体" w:eastAsia="黑体"/>
          <w:bCs/>
          <w:sz w:val="32"/>
          <w:szCs w:val="32"/>
          <w:lang w:eastAsia="zh-CN"/>
        </w:rPr>
        <w:t>项目名称及概况</w:t>
      </w:r>
    </w:p>
    <w:p>
      <w:pPr>
        <w:spacing w:line="360" w:lineRule="auto"/>
        <w:ind w:firstLine="640" w:firstLineChars="200"/>
        <w:jc w:val="left"/>
        <w:rPr>
          <w:rFonts w:hint="eastAsia" w:ascii="仿宋_GB2312" w:eastAsia="仿宋_GB2312"/>
          <w:bCs/>
          <w:sz w:val="32"/>
          <w:szCs w:val="32"/>
          <w:lang w:val="en-US" w:eastAsia="zh-CN"/>
        </w:rPr>
      </w:pPr>
      <w:r>
        <w:rPr>
          <w:rFonts w:hint="eastAsia" w:ascii="仿宋_GB2312" w:eastAsia="仿宋_GB2312"/>
          <w:bCs/>
          <w:sz w:val="32"/>
          <w:szCs w:val="32"/>
          <w:lang w:val="en-US" w:eastAsia="zh-CN"/>
        </w:rPr>
        <w:t>中马钦州产业园区启动区清真产业园经公司第二届董事会第一次会议审批同意开展前期工作，公司管理层内部讨论决定由我公司下属子公司广西孔雀湾投资开发有限公司负责筹建，项目选址位于锦绣大道以东，中马北一街以北，中马北二街延长线以南，六景高速西侧以西。总规划用地面积160008平方米，约240亩，定位开发为集生产、展销、配套及旅游一体化的创新性产业园区，估算总投资额为116337万元。</w:t>
      </w:r>
    </w:p>
    <w:p>
      <w:pPr>
        <w:keepNext w:val="0"/>
        <w:keepLines w:val="0"/>
        <w:pageBreakBefore w:val="0"/>
        <w:widowControl w:val="0"/>
        <w:tabs>
          <w:tab w:val="left" w:pos="860"/>
        </w:tabs>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黑体" w:hAnsi="黑体" w:eastAsia="黑体"/>
          <w:bCs/>
          <w:sz w:val="32"/>
          <w:szCs w:val="32"/>
          <w:lang w:val="en-US" w:eastAsia="zh-CN"/>
        </w:rPr>
      </w:pPr>
      <w:r>
        <w:rPr>
          <w:rFonts w:hint="eastAsia" w:ascii="仿宋_GB2312" w:eastAsia="仿宋_GB2312"/>
          <w:bCs/>
          <w:sz w:val="32"/>
          <w:szCs w:val="32"/>
          <w:lang w:val="en-US" w:eastAsia="zh-CN"/>
        </w:rPr>
        <w:t xml:space="preserve">    </w:t>
      </w:r>
      <w:r>
        <w:rPr>
          <w:rFonts w:hint="eastAsia" w:ascii="黑体" w:hAnsi="黑体" w:eastAsia="黑体"/>
          <w:bCs/>
          <w:sz w:val="32"/>
          <w:szCs w:val="32"/>
          <w:lang w:val="en-US" w:eastAsia="zh-CN"/>
        </w:rPr>
        <w:t>二、招标范围及内容</w:t>
      </w:r>
    </w:p>
    <w:p>
      <w:pPr>
        <w:keepNext w:val="0"/>
        <w:keepLines w:val="0"/>
        <w:pageBreakBefore w:val="0"/>
        <w:widowControl w:val="0"/>
        <w:tabs>
          <w:tab w:val="left" w:pos="860"/>
        </w:tabs>
        <w:kinsoku/>
        <w:wordWrap/>
        <w:overflowPunct/>
        <w:topLinePunct w:val="0"/>
        <w:autoSpaceDE/>
        <w:autoSpaceDN/>
        <w:bidi w:val="0"/>
        <w:adjustRightInd/>
        <w:snapToGrid/>
        <w:spacing w:line="440" w:lineRule="exact"/>
        <w:ind w:right="0" w:rightChars="0"/>
        <w:jc w:val="both"/>
        <w:textAlignment w:val="auto"/>
        <w:rPr>
          <w:rFonts w:hint="eastAsia" w:ascii="仿宋_GB2312" w:eastAsia="仿宋_GB2312"/>
          <w:bCs/>
          <w:sz w:val="32"/>
          <w:szCs w:val="32"/>
        </w:rPr>
      </w:pPr>
      <w:r>
        <w:rPr>
          <w:rFonts w:hint="eastAsia" w:ascii="仿宋_GB2312" w:eastAsia="仿宋_GB2312"/>
          <w:bCs/>
          <w:sz w:val="32"/>
          <w:szCs w:val="32"/>
          <w:lang w:val="en-US" w:eastAsia="zh-CN"/>
        </w:rPr>
        <w:t xml:space="preserve">    </w:t>
      </w:r>
      <w:r>
        <w:rPr>
          <w:rFonts w:hint="eastAsia" w:ascii="仿宋_GB2312" w:eastAsia="仿宋_GB2312"/>
          <w:bCs/>
          <w:sz w:val="32"/>
          <w:szCs w:val="32"/>
        </w:rPr>
        <w:t>本项目</w:t>
      </w:r>
      <w:r>
        <w:rPr>
          <w:rFonts w:hint="eastAsia" w:ascii="仿宋_GB2312" w:eastAsia="仿宋_GB2312"/>
          <w:bCs/>
          <w:sz w:val="32"/>
          <w:szCs w:val="32"/>
          <w:lang w:val="en-US" w:eastAsia="zh-CN"/>
        </w:rPr>
        <w:t>项目建议书编制</w:t>
      </w:r>
      <w:r>
        <w:rPr>
          <w:rFonts w:hint="eastAsia" w:ascii="仿宋_GB2312" w:eastAsia="仿宋_GB2312"/>
          <w:bCs/>
          <w:sz w:val="32"/>
          <w:szCs w:val="32"/>
        </w:rPr>
        <w:t>。</w:t>
      </w:r>
    </w:p>
    <w:p>
      <w:pPr>
        <w:keepNext w:val="0"/>
        <w:keepLines w:val="0"/>
        <w:pageBreakBefore w:val="0"/>
        <w:widowControl w:val="0"/>
        <w:numPr>
          <w:ilvl w:val="0"/>
          <w:numId w:val="1"/>
        </w:numPr>
        <w:tabs>
          <w:tab w:val="left" w:pos="860"/>
        </w:tabs>
        <w:kinsoku/>
        <w:wordWrap/>
        <w:overflowPunct/>
        <w:topLinePunct w:val="0"/>
        <w:autoSpaceDE/>
        <w:autoSpaceDN/>
        <w:bidi w:val="0"/>
        <w:adjustRightInd/>
        <w:snapToGrid/>
        <w:spacing w:line="440" w:lineRule="exact"/>
        <w:ind w:left="0" w:leftChars="0" w:right="0" w:rightChars="0" w:firstLine="640" w:firstLineChars="200"/>
        <w:jc w:val="both"/>
        <w:textAlignment w:val="auto"/>
        <w:rPr>
          <w:rFonts w:hint="eastAsia" w:ascii="黑体" w:hAnsi="黑体" w:eastAsia="黑体"/>
          <w:bCs/>
          <w:sz w:val="32"/>
          <w:szCs w:val="32"/>
        </w:rPr>
      </w:pPr>
      <w:r>
        <w:rPr>
          <w:rFonts w:hint="eastAsia" w:ascii="黑体" w:hAnsi="黑体" w:eastAsia="黑体"/>
          <w:bCs/>
          <w:sz w:val="32"/>
          <w:szCs w:val="32"/>
        </w:rPr>
        <w:t>计费依据</w:t>
      </w:r>
    </w:p>
    <w:p>
      <w:pPr>
        <w:keepNext w:val="0"/>
        <w:keepLines w:val="0"/>
        <w:pageBreakBefore w:val="0"/>
        <w:widowControl w:val="0"/>
        <w:numPr>
          <w:ilvl w:val="0"/>
          <w:numId w:val="0"/>
        </w:numPr>
        <w:tabs>
          <w:tab w:val="left" w:pos="860"/>
        </w:tabs>
        <w:kinsoku/>
        <w:wordWrap/>
        <w:overflowPunct/>
        <w:topLinePunct w:val="0"/>
        <w:autoSpaceDE/>
        <w:autoSpaceDN/>
        <w:bidi w:val="0"/>
        <w:adjustRightInd/>
        <w:snapToGrid/>
        <w:spacing w:line="240" w:lineRule="auto"/>
        <w:ind w:left="0" w:leftChars="0" w:right="0" w:rightChars="0"/>
        <w:jc w:val="both"/>
        <w:textAlignment w:val="auto"/>
        <w:rPr>
          <w:rFonts w:hint="eastAsia" w:ascii="仿宋_GB2312" w:eastAsia="仿宋_GB2312"/>
          <w:bCs/>
          <w:sz w:val="32"/>
          <w:szCs w:val="32"/>
        </w:rPr>
      </w:pPr>
      <w:r>
        <w:rPr>
          <w:rFonts w:hint="eastAsia" w:ascii="仿宋_GB2312" w:eastAsia="仿宋_GB2312"/>
          <w:bCs/>
          <w:sz w:val="32"/>
          <w:szCs w:val="32"/>
          <w:lang w:val="en-US" w:eastAsia="zh-CN"/>
        </w:rPr>
        <w:t xml:space="preserve">   《国家计委关于印发建设项目前期工作咨询收费暂行规定的通知》（计价格〔1999〕1283号）、《钦州市人民政府办公室关于财政性资金投资项目其他费用管理有关问题的通知》（钦政办〔2013〕161号）</w:t>
      </w:r>
    </w:p>
    <w:p>
      <w:pPr>
        <w:numPr>
          <w:ilvl w:val="0"/>
          <w:numId w:val="0"/>
        </w:numPr>
        <w:tabs>
          <w:tab w:val="left" w:pos="860"/>
        </w:tabs>
        <w:spacing w:line="590" w:lineRule="exact"/>
        <w:rPr>
          <w:rFonts w:hint="eastAsia" w:ascii="黑体" w:hAnsi="黑体" w:eastAsia="黑体"/>
          <w:bCs/>
          <w:sz w:val="32"/>
          <w:szCs w:val="32"/>
        </w:rPr>
      </w:pPr>
      <w:r>
        <w:rPr>
          <w:rFonts w:hint="eastAsia" w:ascii="黑体" w:hAnsi="黑体" w:eastAsia="黑体"/>
          <w:bCs/>
          <w:sz w:val="32"/>
          <w:szCs w:val="32"/>
          <w:lang w:val="en-US" w:eastAsia="zh-CN"/>
        </w:rPr>
        <w:t xml:space="preserve">   四、</w:t>
      </w:r>
      <w:r>
        <w:rPr>
          <w:rFonts w:hint="eastAsia" w:ascii="黑体" w:hAnsi="黑体" w:eastAsia="黑体"/>
          <w:bCs/>
          <w:sz w:val="32"/>
          <w:szCs w:val="32"/>
        </w:rPr>
        <w:t>收费计算过程</w:t>
      </w:r>
    </w:p>
    <w:p>
      <w:pPr>
        <w:numPr>
          <w:ilvl w:val="0"/>
          <w:numId w:val="2"/>
        </w:numPr>
        <w:spacing w:line="360" w:lineRule="auto"/>
        <w:ind w:firstLine="562" w:firstLineChars="200"/>
        <w:jc w:val="left"/>
        <w:rPr>
          <w:rFonts w:hint="eastAsia" w:ascii="宋体" w:hAnsi="宋体"/>
          <w:b/>
          <w:sz w:val="28"/>
          <w:szCs w:val="28"/>
          <w:lang w:eastAsia="zh-CN"/>
        </w:rPr>
      </w:pPr>
      <w:r>
        <w:rPr>
          <w:rFonts w:hint="eastAsia" w:ascii="宋体" w:hAnsi="宋体"/>
          <w:b/>
          <w:sz w:val="28"/>
          <w:szCs w:val="28"/>
          <w:lang w:eastAsia="zh-CN"/>
        </w:rPr>
        <w:t>项目总投资额</w:t>
      </w:r>
    </w:p>
    <w:p>
      <w:pPr>
        <w:numPr>
          <w:ilvl w:val="0"/>
          <w:numId w:val="0"/>
        </w:numPr>
        <w:spacing w:line="360" w:lineRule="auto"/>
        <w:jc w:val="left"/>
        <w:rPr>
          <w:rFonts w:hint="eastAsia" w:ascii="仿宋_GB2312" w:eastAsia="仿宋_GB2312"/>
          <w:bCs/>
          <w:sz w:val="32"/>
          <w:szCs w:val="32"/>
          <w:lang w:val="en-US" w:eastAsia="zh-CN"/>
        </w:rPr>
      </w:pPr>
      <w:r>
        <w:rPr>
          <w:rFonts w:hint="eastAsia" w:ascii="仿宋_GB2312" w:eastAsia="仿宋_GB2312"/>
          <w:bCs/>
          <w:sz w:val="32"/>
          <w:szCs w:val="32"/>
          <w:lang w:val="en-US" w:eastAsia="zh-CN"/>
        </w:rPr>
        <w:t xml:space="preserve">  该项目的总投资约为116337万元。</w:t>
      </w:r>
    </w:p>
    <w:p>
      <w:pPr>
        <w:spacing w:line="360" w:lineRule="auto"/>
        <w:ind w:firstLine="562" w:firstLineChars="200"/>
        <w:jc w:val="left"/>
        <w:rPr>
          <w:rFonts w:hint="eastAsia" w:ascii="宋体" w:hAnsi="宋体"/>
          <w:b/>
          <w:sz w:val="28"/>
          <w:szCs w:val="28"/>
        </w:rPr>
      </w:pPr>
      <w:r>
        <w:rPr>
          <w:rFonts w:hint="eastAsia" w:ascii="宋体" w:hAnsi="宋体"/>
          <w:b/>
          <w:sz w:val="28"/>
          <w:szCs w:val="28"/>
          <w:lang w:val="en-US" w:eastAsia="zh-CN"/>
        </w:rPr>
        <w:t>2、</w:t>
      </w:r>
      <w:r>
        <w:rPr>
          <w:rFonts w:hint="eastAsia" w:ascii="宋体" w:hAnsi="宋体"/>
          <w:b/>
          <w:sz w:val="28"/>
          <w:szCs w:val="28"/>
        </w:rPr>
        <w:t>项目建议书编制费</w:t>
      </w:r>
    </w:p>
    <w:p>
      <w:pPr>
        <w:spacing w:line="360" w:lineRule="auto"/>
        <w:ind w:firstLine="560" w:firstLineChars="200"/>
        <w:jc w:val="left"/>
        <w:rPr>
          <w:rFonts w:hint="eastAsia" w:ascii="宋体" w:hAnsi="宋体"/>
          <w:sz w:val="28"/>
          <w:szCs w:val="28"/>
        </w:rPr>
      </w:pPr>
      <w:r>
        <w:rPr>
          <w:rFonts w:hint="eastAsia" w:ascii="宋体" w:hAnsi="宋体"/>
          <w:sz w:val="28"/>
          <w:szCs w:val="28"/>
        </w:rPr>
        <w:t>①以项目估算投资</w:t>
      </w:r>
      <w:r>
        <w:rPr>
          <w:rFonts w:hint="eastAsia" w:ascii="仿宋_GB2312" w:eastAsia="仿宋_GB2312"/>
          <w:bCs/>
          <w:sz w:val="32"/>
          <w:szCs w:val="32"/>
          <w:lang w:val="en-US" w:eastAsia="zh-CN"/>
        </w:rPr>
        <w:t>116337万</w:t>
      </w:r>
      <w:r>
        <w:rPr>
          <w:rFonts w:hint="eastAsia" w:ascii="宋体" w:hAnsi="宋体"/>
          <w:sz w:val="28"/>
          <w:szCs w:val="28"/>
        </w:rPr>
        <w:t>元为计费基数，按照收费规定中的计算办法，则收费基价（J）为：</w:t>
      </w:r>
    </w:p>
    <w:p>
      <w:pPr>
        <w:spacing w:line="360" w:lineRule="auto"/>
        <w:ind w:firstLine="560" w:firstLineChars="200"/>
        <w:jc w:val="left"/>
        <w:rPr>
          <w:rFonts w:hint="eastAsia" w:ascii="宋体" w:hAnsi="宋体"/>
          <w:sz w:val="28"/>
          <w:szCs w:val="28"/>
        </w:rPr>
      </w:pPr>
      <w:r>
        <w:rPr>
          <w:rFonts w:ascii="宋体" w:hAnsi="宋体"/>
          <w:position w:val="-40"/>
          <w:sz w:val="28"/>
          <w:szCs w:val="28"/>
        </w:rPr>
        <w:object>
          <v:shape id="_x0000_i1025" o:spt="75" type="#_x0000_t75" style="height:48.9pt;width:241.75pt;" o:ole="t" filled="f" o:preferrelative="t" stroked="f" coordsize="21600,21600">
            <v:path/>
            <v:fill on="f" focussize="0,0"/>
            <v:stroke on="f"/>
            <v:imagedata r:id="rId5" o:title=""/>
            <o:lock v:ext="edit" aspectratio="t"/>
            <w10:wrap type="none"/>
            <w10:anchorlock/>
          </v:shape>
          <o:OLEObject Type="Embed" ProgID="Equation.3" ShapeID="_x0000_i1025" DrawAspect="Content" ObjectID="_1468075725" r:id="rId4">
            <o:LockedField>false</o:LockedField>
          </o:OLEObject>
        </w:object>
      </w:r>
    </w:p>
    <w:p>
      <w:pPr>
        <w:spacing w:line="360" w:lineRule="auto"/>
        <w:ind w:firstLine="560" w:firstLineChars="200"/>
        <w:jc w:val="left"/>
        <w:rPr>
          <w:rFonts w:hint="eastAsia" w:ascii="宋体" w:hAnsi="宋体"/>
          <w:sz w:val="28"/>
          <w:szCs w:val="28"/>
        </w:rPr>
      </w:pPr>
      <w:r>
        <w:rPr>
          <w:rFonts w:ascii="宋体" w:hAnsi="宋体"/>
          <w:sz w:val="28"/>
          <w:szCs w:val="28"/>
        </w:rPr>
        <w:t>②</w:t>
      </w:r>
      <w:r>
        <w:rPr>
          <w:rFonts w:hint="eastAsia" w:ascii="宋体" w:hAnsi="宋体"/>
          <w:sz w:val="28"/>
          <w:szCs w:val="28"/>
        </w:rPr>
        <w:t>行业调整系数取0.7，工程复杂程度调整系数取1.0。</w:t>
      </w:r>
    </w:p>
    <w:p>
      <w:pPr>
        <w:spacing w:line="360" w:lineRule="auto"/>
        <w:ind w:firstLine="560" w:firstLineChars="200"/>
        <w:jc w:val="left"/>
        <w:rPr>
          <w:rFonts w:hint="eastAsia" w:ascii="宋体" w:hAnsi="宋体"/>
          <w:sz w:val="28"/>
          <w:szCs w:val="28"/>
        </w:rPr>
      </w:pPr>
      <w:r>
        <w:rPr>
          <w:rFonts w:hint="eastAsia" w:ascii="宋体" w:hAnsi="宋体" w:eastAsia="宋体" w:cs="宋体"/>
          <w:sz w:val="28"/>
          <w:szCs w:val="28"/>
        </w:rPr>
        <w:sym w:font="Wingdings" w:char="F083"/>
      </w:r>
      <w:r>
        <w:rPr>
          <w:rFonts w:hint="eastAsia" w:ascii="宋体" w:hAnsi="宋体"/>
          <w:sz w:val="28"/>
          <w:szCs w:val="28"/>
        </w:rPr>
        <w:t>按计费标准计算后下浮</w:t>
      </w:r>
      <w:r>
        <w:rPr>
          <w:rFonts w:hint="eastAsia" w:ascii="宋体" w:hAnsi="宋体"/>
          <w:sz w:val="28"/>
          <w:szCs w:val="28"/>
          <w:lang w:val="en-US" w:eastAsia="zh-CN"/>
        </w:rPr>
        <w:t>60</w:t>
      </w:r>
      <w:r>
        <w:rPr>
          <w:rFonts w:hint="eastAsia" w:ascii="宋体" w:hAnsi="宋体"/>
          <w:sz w:val="28"/>
          <w:szCs w:val="28"/>
        </w:rPr>
        <w:t>%，</w:t>
      </w:r>
      <w:r>
        <w:rPr>
          <w:rFonts w:hint="eastAsia" w:ascii="宋体" w:hAnsi="宋体"/>
          <w:sz w:val="28"/>
          <w:szCs w:val="28"/>
          <w:lang w:eastAsia="zh-CN"/>
        </w:rPr>
        <w:t>则</w:t>
      </w:r>
      <w:r>
        <w:rPr>
          <w:rFonts w:hint="eastAsia" w:ascii="宋体" w:hAnsi="宋体"/>
          <w:sz w:val="28"/>
          <w:szCs w:val="28"/>
        </w:rPr>
        <w:t>本项目的</w:t>
      </w:r>
      <w:r>
        <w:rPr>
          <w:rFonts w:hint="eastAsia" w:ascii="宋体" w:hAnsi="宋体"/>
          <w:sz w:val="28"/>
          <w:szCs w:val="28"/>
          <w:lang w:eastAsia="zh-CN"/>
        </w:rPr>
        <w:t>项目建议书</w:t>
      </w:r>
      <w:r>
        <w:rPr>
          <w:rFonts w:hint="eastAsia" w:ascii="宋体" w:hAnsi="宋体"/>
          <w:sz w:val="28"/>
          <w:szCs w:val="28"/>
        </w:rPr>
        <w:t>编制费为：</w:t>
      </w:r>
    </w:p>
    <w:p>
      <w:pPr>
        <w:spacing w:line="360" w:lineRule="auto"/>
        <w:ind w:firstLine="560" w:firstLineChars="200"/>
        <w:jc w:val="left"/>
        <w:rPr>
          <w:rFonts w:hint="eastAsia" w:ascii="宋体" w:hAnsi="宋体"/>
          <w:b/>
          <w:sz w:val="28"/>
          <w:szCs w:val="28"/>
        </w:rPr>
      </w:pPr>
      <w:r>
        <w:rPr>
          <w:rFonts w:hint="eastAsia" w:ascii="宋体" w:hAnsi="宋体"/>
          <w:sz w:val="28"/>
          <w:szCs w:val="28"/>
          <w:lang w:val="en-US" w:eastAsia="zh-CN"/>
        </w:rPr>
        <w:t>56.84</w:t>
      </w:r>
      <w:r>
        <w:rPr>
          <w:rFonts w:hint="eastAsia" w:ascii="宋体" w:hAnsi="宋体"/>
          <w:sz w:val="28"/>
          <w:szCs w:val="28"/>
        </w:rPr>
        <w:t>×0.7×1.0×</w:t>
      </w:r>
      <w:r>
        <w:rPr>
          <w:rFonts w:hint="eastAsia" w:ascii="宋体" w:hAnsi="宋体"/>
          <w:sz w:val="28"/>
          <w:szCs w:val="28"/>
          <w:lang w:eastAsia="zh-CN"/>
        </w:rPr>
        <w:t>（</w:t>
      </w:r>
      <w:r>
        <w:rPr>
          <w:rFonts w:hint="eastAsia" w:ascii="宋体" w:hAnsi="宋体"/>
          <w:sz w:val="28"/>
          <w:szCs w:val="28"/>
          <w:lang w:val="en-US" w:eastAsia="zh-CN"/>
        </w:rPr>
        <w:t>1-60%）</w:t>
      </w:r>
      <w:r>
        <w:rPr>
          <w:rFonts w:hint="eastAsia" w:ascii="宋体" w:hAnsi="宋体"/>
          <w:sz w:val="28"/>
          <w:szCs w:val="28"/>
        </w:rPr>
        <w:t>=</w:t>
      </w:r>
      <w:r>
        <w:rPr>
          <w:rFonts w:hint="eastAsia" w:ascii="宋体" w:hAnsi="宋体"/>
          <w:b/>
          <w:sz w:val="28"/>
          <w:szCs w:val="28"/>
          <w:lang w:val="en-US" w:eastAsia="zh-CN"/>
        </w:rPr>
        <w:t>15.91（</w:t>
      </w:r>
      <w:r>
        <w:rPr>
          <w:rFonts w:hint="eastAsia" w:ascii="宋体" w:hAnsi="宋体"/>
          <w:b/>
          <w:sz w:val="28"/>
          <w:szCs w:val="28"/>
        </w:rPr>
        <w:t>万元）</w:t>
      </w:r>
    </w:p>
    <w:p>
      <w:pPr>
        <w:spacing w:line="360" w:lineRule="auto"/>
        <w:ind w:firstLine="560" w:firstLineChars="200"/>
        <w:jc w:val="left"/>
        <w:rPr>
          <w:rFonts w:hint="eastAsia"/>
          <w:sz w:val="28"/>
          <w:szCs w:val="28"/>
          <w:lang w:val="en-US" w:eastAsia="zh-CN"/>
        </w:rPr>
      </w:pPr>
      <w:r>
        <w:rPr>
          <w:rFonts w:hint="eastAsia"/>
          <w:sz w:val="28"/>
          <w:szCs w:val="28"/>
          <w:lang w:val="en-US" w:eastAsia="zh-CN"/>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Courier New">
    <w:panose1 w:val="02070309020205020404"/>
    <w:charset w:val="00"/>
    <w:family w:val="swiss"/>
    <w:pitch w:val="default"/>
    <w:sig w:usb0="E0002AFF" w:usb1="C0007843" w:usb2="00000009" w:usb3="00000000" w:csb0="400001FF" w:csb1="FFFF0000"/>
  </w:font>
  <w:font w:name="仿宋">
    <w:panose1 w:val="02010609060101010101"/>
    <w:charset w:val="86"/>
    <w:family w:val="swiss"/>
    <w:pitch w:val="default"/>
    <w:sig w:usb0="800002BF" w:usb1="38CF7CFA" w:usb2="00000016" w:usb3="00000000" w:csb0="00040001" w:csb1="00000000"/>
  </w:font>
  <w:font w:name="方正黑体_GBK">
    <w:altName w:val="Arial Unicode MS"/>
    <w:panose1 w:val="03000509000000000000"/>
    <w:charset w:val="86"/>
    <w:family w:val="script"/>
    <w:pitch w:val="default"/>
    <w:sig w:usb0="00000000" w:usb1="00000000" w:usb2="00000000" w:usb3="00000000" w:csb0="00040000" w:csb1="00000000"/>
  </w:font>
  <w:font w:name="新宋体">
    <w:panose1 w:val="02010609030101010101"/>
    <w:charset w:val="86"/>
    <w:family w:val="swiss"/>
    <w:pitch w:val="default"/>
    <w:sig w:usb0="00000003" w:usb1="288F0000" w:usb2="00000006" w:usb3="00000000" w:csb0="00040001" w:csb1="00000000"/>
  </w:font>
  <w:font w:name="Wingdings 2">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AFF" w:usb1="C0007843" w:usb2="00000009" w:usb3="00000000" w:csb0="400001FF" w:csb1="FFFF0000"/>
  </w:font>
  <w:font w:name="楷体">
    <w:panose1 w:val="02010609060101010101"/>
    <w:charset w:val="86"/>
    <w:family w:val="swiss"/>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华文宋体">
    <w:panose1 w:val="02010600040101010101"/>
    <w:charset w:val="86"/>
    <w:family w:val="auto"/>
    <w:pitch w:val="default"/>
    <w:sig w:usb0="00000287" w:usb1="080F0000" w:usb2="00000000" w:usb3="00000000" w:csb0="0004009F" w:csb1="DFD70000"/>
  </w:font>
  <w:font w:name="MS Gothic">
    <w:panose1 w:val="020B0609070205080204"/>
    <w:charset w:val="80"/>
    <w:family w:val="modern"/>
    <w:pitch w:val="default"/>
    <w:sig w:usb0="E00002FF" w:usb1="6AC7FDFB" w:usb2="00000012" w:usb3="00000000" w:csb0="4002009F" w:csb1="DFD70000"/>
  </w:font>
  <w:font w:name="MingLiU_HKSCS">
    <w:panose1 w:val="02020500000000000000"/>
    <w:charset w:val="88"/>
    <w:family w:val="roman"/>
    <w:pitch w:val="default"/>
    <w:sig w:usb0="A00002FF" w:usb1="38CFFCFA" w:usb2="00000016" w:usb3="00000000" w:csb0="00100001" w:csb1="00000000"/>
  </w:font>
  <w:font w:name="Arial">
    <w:panose1 w:val="020B0604020202020204"/>
    <w:charset w:val="86"/>
    <w:family w:val="auto"/>
    <w:pitch w:val="default"/>
    <w:sig w:usb0="E0002AFF" w:usb1="C0007843" w:usb2="00000009" w:usb3="00000000" w:csb0="400001FF" w:csb1="FFFF0000"/>
  </w:font>
  <w:font w:name="MS PGothic">
    <w:panose1 w:val="020B0600070205080204"/>
    <w:charset w:val="86"/>
    <w:family w:val="auto"/>
    <w:pitch w:val="default"/>
    <w:sig w:usb0="E00002FF" w:usb1="6AC7FDFB" w:usb2="00000012" w:usb3="00000000" w:csb0="4002009F" w:csb1="DFD70000"/>
  </w:font>
  <w:font w:name="Calibri Light">
    <w:panose1 w:val="020F0302020204030204"/>
    <w:charset w:val="00"/>
    <w:family w:val="swiss"/>
    <w:pitch w:val="default"/>
    <w:sig w:usb0="A00002EF" w:usb1="4000207B" w:usb2="00000000" w:usb3="00000000" w:csb0="2000019F" w:csb1="00000000"/>
  </w:font>
  <w:font w:name="_x000B__x000C_">
    <w:altName w:val="Times New Roman"/>
    <w:panose1 w:val="00000000000000000000"/>
    <w:charset w:val="00"/>
    <w:family w:val="roman"/>
    <w:pitch w:val="default"/>
    <w:sig w:usb0="00000000" w:usb1="00000000" w:usb2="00000000" w:usb3="00000000" w:csb0="00040001" w:csb1="00000000"/>
  </w:font>
  <w:font w:name="Times">
    <w:altName w:val="Times New Roman"/>
    <w:panose1 w:val="02020603050405020304"/>
    <w:charset w:val="00"/>
    <w:family w:val="auto"/>
    <w:pitch w:val="default"/>
    <w:sig w:usb0="00000000" w:usb1="00000000" w:usb2="00000009" w:usb3="00000000" w:csb0="000001FF" w:csb1="00000000"/>
  </w:font>
  <w:font w:name="幼圆">
    <w:panose1 w:val="02010509060101010101"/>
    <w:charset w:val="86"/>
    <w:family w:val="modern"/>
    <w:pitch w:val="default"/>
    <w:sig w:usb0="00000001" w:usb1="080E0000" w:usb2="00000000" w:usb3="00000000" w:csb0="00040000" w:csb1="00000000"/>
  </w:font>
  <w:font w:name="新宋体-18030">
    <w:altName w:val="宋体"/>
    <w:panose1 w:val="02010609060101010101"/>
    <w:charset w:val="86"/>
    <w:family w:val="modern"/>
    <w:pitch w:val="default"/>
    <w:sig w:usb0="00000000" w:usb1="00000000" w:usb2="000A005E" w:usb3="00000000" w:csb0="00040001" w:csb1="00000000"/>
  </w:font>
  <w:font w:name="Wingdings">
    <w:panose1 w:val="05000000000000000000"/>
    <w:charset w:val="00"/>
    <w:family w:val="auto"/>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 w:name="Traditional Arabic">
    <w:panose1 w:val="02020603050405020304"/>
    <w:charset w:val="00"/>
    <w:family w:val="roman"/>
    <w:pitch w:val="default"/>
    <w:sig w:usb0="00006003" w:usb1="80000000" w:usb2="00000008" w:usb3="00000000" w:csb0="00000041" w:csb1="20080000"/>
  </w:font>
  <w:font w:name="刘德华字体叶根友仿08">
    <w:altName w:val="宋体"/>
    <w:panose1 w:val="02010601030101010101"/>
    <w:charset w:val="86"/>
    <w:family w:val="auto"/>
    <w:pitch w:val="default"/>
    <w:sig w:usb0="00000000" w:usb1="00000000" w:usb2="00000000" w:usb3="00000000" w:csb0="00040000" w:csb1="00000000"/>
  </w:font>
  <w:font w:name="锐字云字库行楷体1.0">
    <w:altName w:val="宋体"/>
    <w:panose1 w:val="02010604000000000000"/>
    <w:charset w:val="86"/>
    <w:family w:val="auto"/>
    <w:pitch w:val="default"/>
    <w:sig w:usb0="00000000" w:usb1="00000000" w:usb2="00000000" w:usb3="00000000" w:csb0="00040001"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隶书">
    <w:panose1 w:val="02010509060101010101"/>
    <w:charset w:val="86"/>
    <w:family w:val="modern"/>
    <w:pitch w:val="default"/>
    <w:sig w:usb0="00000001" w:usb1="080E0000" w:usb2="00000000" w:usb3="00000000" w:csb0="00040000" w:csb1="00000000"/>
  </w:font>
  <w:font w:name="金山简隶书">
    <w:altName w:val="宋体"/>
    <w:panose1 w:val="02010609000101010101"/>
    <w:charset w:val="86"/>
    <w:family w:val="modern"/>
    <w:pitch w:val="default"/>
    <w:sig w:usb0="00000000" w:usb1="00000000" w:usb2="0000001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57CC39"/>
    <w:multiLevelType w:val="singleLevel"/>
    <w:tmpl w:val="5757CC39"/>
    <w:lvl w:ilvl="0" w:tentative="0">
      <w:start w:val="3"/>
      <w:numFmt w:val="chineseCounting"/>
      <w:suff w:val="nothing"/>
      <w:lvlText w:val="%1、"/>
      <w:lvlJc w:val="left"/>
    </w:lvl>
  </w:abstractNum>
  <w:abstractNum w:abstractNumId="1">
    <w:nsid w:val="5762776E"/>
    <w:multiLevelType w:val="singleLevel"/>
    <w:tmpl w:val="5762776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2126F5"/>
    <w:rsid w:val="6E2126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2017-06-28T09:06:00Z</dcterms:created>
  <dc:creator>lenovo</dc:creator>
  <cp:lastModifiedBy>lenovo</cp:lastModifiedBy>
  <dcterms:modified xsi:type="dcterms:W3CDTF">2017-06-28T09:07:07Z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