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atLeast"/>
        <w:ind w:right="0" w:rightChars="0"/>
        <w:jc w:val="both"/>
        <w:textAlignment w:val="auto"/>
        <w:outlineLvl w:val="9"/>
        <w:rPr>
          <w:rFonts w:hint="eastAsia" w:ascii="Times New Roman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仿宋" w:eastAsia="仿宋"/>
          <w:sz w:val="32"/>
          <w:szCs w:val="32"/>
          <w:lang w:eastAsia="zh-CN"/>
        </w:rPr>
        <w:t>附件</w:t>
      </w:r>
      <w:r>
        <w:rPr>
          <w:rFonts w:hint="eastAsia" w:ascii="Times New Roman" w:hAnsi="仿宋" w:eastAsia="仿宋"/>
          <w:sz w:val="32"/>
          <w:szCs w:val="32"/>
          <w:lang w:val="en-US" w:eastAsia="zh-CN"/>
        </w:rPr>
        <w:t>1：</w:t>
      </w:r>
    </w:p>
    <w:p>
      <w:pPr>
        <w:spacing w:after="164" w:afterLines="50" w:line="580" w:lineRule="exact"/>
        <w:jc w:val="center"/>
        <w:rPr>
          <w:rFonts w:hint="eastAsia" w:ascii="仿宋_GB2312" w:hAnsi="仿宋" w:eastAsia="仿宋_GB2312"/>
          <w:b/>
          <w:sz w:val="44"/>
          <w:szCs w:val="44"/>
        </w:rPr>
      </w:pPr>
      <w:r>
        <w:rPr>
          <w:rFonts w:hint="eastAsia" w:ascii="仿宋_GB2312" w:hAnsi="仿宋" w:eastAsia="仿宋_GB2312"/>
          <w:b/>
          <w:sz w:val="44"/>
          <w:szCs w:val="44"/>
        </w:rPr>
        <w:t>报价函</w:t>
      </w:r>
    </w:p>
    <w:p>
      <w:pPr>
        <w:spacing w:after="164" w:afterLines="50"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广西中马钦州产业园区开发有限公司：</w:t>
      </w:r>
    </w:p>
    <w:p>
      <w:pPr>
        <w:spacing w:after="164" w:afterLines="50" w:line="5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根据贵公司关于混凝土运输服务外包事项的采购公告，经研究，我公司关于该项目的报价如下：</w:t>
      </w:r>
    </w:p>
    <w:tbl>
      <w:tblPr>
        <w:tblStyle w:val="3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324"/>
        <w:gridCol w:w="3480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序号</w:t>
            </w:r>
          </w:p>
        </w:tc>
        <w:tc>
          <w:tcPr>
            <w:tcW w:w="3324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费用控制价</w:t>
            </w:r>
          </w:p>
        </w:tc>
        <w:tc>
          <w:tcPr>
            <w:tcW w:w="348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报价单位报价</w:t>
            </w:r>
          </w:p>
        </w:tc>
        <w:tc>
          <w:tcPr>
            <w:tcW w:w="118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9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332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运费单价为：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在广西中马钦州产业园区一期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区域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（15平方公里范围内）按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元/立方米计算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一期区域外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的项目15公里以内按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元/立方米计算；16-20公里按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元/立方米计算；20公里以上按每公里每方增加1元计价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天泵费用按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元/方计价，地泵费用按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元/方计价，不含接管费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。</w:t>
            </w:r>
          </w:p>
        </w:tc>
        <w:tc>
          <w:tcPr>
            <w:tcW w:w="34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运费单价为：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在广西中马钦州产业园区一期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区域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（15平方公里范围内）按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/立方米计算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一期区域外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的项目15公里以内按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元/立方米计算；16-20公里按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元/立方米计算；20公里以上按每公里每方增加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元计价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天泵费用按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元/方计价，地泵费用按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元/方计价，不含接管费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。</w:t>
            </w:r>
          </w:p>
        </w:tc>
        <w:tc>
          <w:tcPr>
            <w:tcW w:w="118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9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3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甲方租赁乙方车辆拉水按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</w:rPr>
              <w:t>50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元/车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甲方租赁乙方车辆拉水按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元/车</w:t>
            </w:r>
          </w:p>
        </w:tc>
        <w:tc>
          <w:tcPr>
            <w:tcW w:w="118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95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超时补助：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由于甲方原因造成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车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辆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到达工地至卸完料的时间超过3小时的，甲方按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元/小时向乙方支付超时补助费，不足一小时超过半小时（含半小时）按一小时计算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超时补助：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由于甲方原因造成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车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辆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到达工地至卸完料的时间超过3小时的，甲方按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元/小时向乙方支付超时补助费，不足一小时超过半小时（含半小时）按一小时计算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118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8948" w:type="dxa"/>
            <w:gridSpan w:val="4"/>
            <w:vAlign w:val="top"/>
          </w:tcPr>
          <w:p>
            <w:pPr>
              <w:tabs>
                <w:tab w:val="left" w:pos="1606"/>
              </w:tabs>
              <w:spacing w:line="580" w:lineRule="exac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  <w:t>注：以上单价含</w:t>
            </w:r>
            <w:r>
              <w:rPr>
                <w:rFonts w:hint="eastAsia" w:ascii="仿宋_GB2312" w:hAnsi="仿宋" w:eastAsia="仿宋_GB2312"/>
                <w:color w:val="auto"/>
                <w:sz w:val="32"/>
                <w:szCs w:val="32"/>
                <w:lang w:eastAsia="zh-CN"/>
              </w:rPr>
              <w:t>税</w:t>
            </w:r>
            <w:r>
              <w:rPr>
                <w:rFonts w:hint="eastAsia" w:ascii="仿宋_GB2312" w:hAnsi="仿宋" w:eastAsia="仿宋_GB2312"/>
                <w:color w:val="auto"/>
                <w:sz w:val="32"/>
                <w:szCs w:val="32"/>
              </w:rPr>
              <w:t>费。报价单位的报价需低于控制价，否则报价文件做无效处理。</w:t>
            </w:r>
          </w:p>
        </w:tc>
      </w:tr>
    </w:tbl>
    <w:p>
      <w:pPr>
        <w:tabs>
          <w:tab w:val="left" w:pos="1606"/>
        </w:tabs>
        <w:spacing w:line="58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报价单位联系人：</w:t>
      </w:r>
    </w:p>
    <w:p>
      <w:pPr>
        <w:tabs>
          <w:tab w:val="left" w:pos="1606"/>
        </w:tabs>
        <w:spacing w:line="58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联系方式：</w:t>
      </w:r>
    </w:p>
    <w:p>
      <w:pPr>
        <w:tabs>
          <w:tab w:val="left" w:pos="1606"/>
        </w:tabs>
        <w:spacing w:line="580" w:lineRule="exact"/>
        <w:jc w:val="left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1606"/>
        </w:tabs>
        <w:spacing w:line="580" w:lineRule="exact"/>
        <w:jc w:val="left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1606"/>
        </w:tabs>
        <w:spacing w:line="580" w:lineRule="exact"/>
        <w:jc w:val="left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1606"/>
        </w:tabs>
        <w:spacing w:line="58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报价单位：（盖章）</w:t>
      </w:r>
    </w:p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2018年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FB12D"/>
    <w:multiLevelType w:val="singleLevel"/>
    <w:tmpl w:val="124FB12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FCE64F"/>
    <w:multiLevelType w:val="singleLevel"/>
    <w:tmpl w:val="57FCE64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1773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2018-04-28T06:06:51Z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