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中马钦州产业园区启动区路灯箱变项目工程南五街、南四街10kV配电部分施工</w:t>
      </w:r>
    </w:p>
    <w:p>
      <w:pPr>
        <w:spacing w:line="58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公开比选文件</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我公司拟对</w:t>
      </w:r>
      <w:r>
        <w:rPr>
          <w:rFonts w:hint="eastAsia" w:ascii="Times New Roman" w:hAnsi="仿宋" w:eastAsia="仿宋"/>
          <w:color w:val="auto"/>
          <w:sz w:val="32"/>
          <w:szCs w:val="32"/>
          <w:lang w:eastAsia="zh-CN"/>
        </w:rPr>
        <w:t>中马钦州产业园区启动区路灯箱变项目工程南五街、南四街10kV配电部分施工项目</w:t>
      </w:r>
      <w:r>
        <w:rPr>
          <w:rFonts w:hint="eastAsia" w:ascii="Times New Roman" w:hAnsi="仿宋" w:eastAsia="仿宋"/>
          <w:color w:val="auto"/>
          <w:sz w:val="32"/>
          <w:szCs w:val="32"/>
        </w:rPr>
        <w:t>通过公开比选</w:t>
      </w:r>
      <w:r>
        <w:rPr>
          <w:rFonts w:hint="eastAsia" w:ascii="Times New Roman" w:hAnsi="仿宋" w:eastAsia="仿宋"/>
          <w:color w:val="auto"/>
          <w:sz w:val="32"/>
          <w:szCs w:val="32"/>
          <w:lang w:eastAsia="zh-CN"/>
        </w:rPr>
        <w:t>的方式</w:t>
      </w:r>
      <w:r>
        <w:rPr>
          <w:rFonts w:hint="eastAsia" w:ascii="Times New Roman" w:hAnsi="仿宋" w:eastAsia="仿宋"/>
          <w:color w:val="auto"/>
          <w:sz w:val="32"/>
          <w:szCs w:val="32"/>
        </w:rPr>
        <w:t>选择施工单位，具体事项如下：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lang w:eastAsia="zh-CN"/>
        </w:rPr>
        <w:t>一、</w:t>
      </w:r>
      <w:r>
        <w:rPr>
          <w:rFonts w:hint="default" w:ascii="黑体" w:hAnsi="黑体" w:eastAsia="黑体" w:cs="Times New Roman"/>
          <w:b w:val="0"/>
          <w:bCs w:val="0"/>
          <w:color w:val="auto"/>
          <w:sz w:val="32"/>
          <w:szCs w:val="32"/>
        </w:rPr>
        <w:t>项目基本情况</w:t>
      </w:r>
    </w:p>
    <w:p>
      <w:pPr>
        <w:spacing w:line="48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本次中马钦州产业园区启动区路灯箱变项目工程南五街、南四街10kV配电部分涉及4个路灯箱变项目:</w:t>
      </w:r>
    </w:p>
    <w:p>
      <w:pPr>
        <w:spacing w:line="48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1.中马钦州产业园区启动区南五街(k1+310)200kVA路灯箱变工程；</w:t>
      </w:r>
    </w:p>
    <w:p>
      <w:pPr>
        <w:spacing w:line="48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2.中马钦州产业园区启动区南五街(k2+840)200kVA路灯箱变工程；</w:t>
      </w:r>
    </w:p>
    <w:p>
      <w:pPr>
        <w:spacing w:line="48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3.中马钦州产业园区启动区路灯箱变项目工程(中马南四街与丹桂路交叉路口）；</w:t>
      </w:r>
    </w:p>
    <w:p>
      <w:pPr>
        <w:spacing w:line="48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4.中马钦州产业园区启动区路灯箱变项目工程(中马南四街与丹兰路交叉路口）。</w:t>
      </w:r>
    </w:p>
    <w:p>
      <w:pPr>
        <w:spacing w:line="48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建设地点：中国—马来西亚钦州产业园启动区内。</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 xml:space="preserve">本比选采购事项预算控制价为32.606915万元。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0" w:firstLineChars="200"/>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1.具备电力工程施工总承包伍级以上（含伍级）或送变电工程专业承包（输变电工程专业承包）伍级以上（含伍级）资质的施工企业;且有国家电力监管委员会颁发的承装类电力设施许可证资质。</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2.拟投入的项目经理须具备机电工程专业贰级以上（含贰级）注册建造师执业资格。</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3.须提供检察机关出具的无行贿犯罪档案查询的书面告知函。</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4.本项目不接受联合体参与报价。</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仿宋" w:hAnsi="仿宋" w:eastAsia="仿宋" w:cs="仿宋"/>
          <w:color w:val="auto"/>
          <w:sz w:val="32"/>
          <w:szCs w:val="32"/>
          <w:lang w:val="en-US" w:eastAsia="zh-CN"/>
        </w:rPr>
        <w:t>设计图纸范围内土建、设备采购、安装、调试工程等所需各项工作。（箱变基础、箱变、10kV高压电缆不在本次采购范围）</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9</w:t>
      </w:r>
      <w:r>
        <w:rPr>
          <w:rFonts w:hint="eastAsia" w:ascii="Times New Roman" w:hAnsi="仿宋" w:eastAsia="仿宋"/>
          <w:color w:val="auto"/>
          <w:sz w:val="32"/>
          <w:szCs w:val="32"/>
        </w:rPr>
        <w:t>日</w:t>
      </w:r>
      <w:r>
        <w:rPr>
          <w:rFonts w:hint="eastAsia" w:ascii="Times New Roman" w:hAnsi="仿宋" w:eastAsia="仿宋"/>
          <w:color w:val="auto"/>
          <w:sz w:val="32"/>
          <w:szCs w:val="32"/>
          <w:lang w:val="en-US" w:eastAsia="zh-CN"/>
        </w:rPr>
        <w:t>12</w:t>
      </w:r>
      <w:r>
        <w:rPr>
          <w:rFonts w:hint="eastAsia" w:ascii="Times New Roman" w:hAnsi="仿宋" w:eastAsia="仿宋"/>
          <w:color w:val="auto"/>
          <w:sz w:val="32"/>
          <w:szCs w:val="32"/>
        </w:rPr>
        <w:t>:00止。</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（三）开工时间：自签订合同后7个天内开工</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（四）要求工期：60个日历日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五</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组成</w:t>
      </w:r>
      <w:r>
        <w:rPr>
          <w:rFonts w:hint="eastAsia" w:ascii="Times New Roman" w:hAnsi="仿宋" w:eastAsia="仿宋"/>
          <w:color w:val="auto"/>
          <w:sz w:val="32"/>
          <w:szCs w:val="32"/>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营业执照；资质证书</w:t>
      </w:r>
      <w:r>
        <w:rPr>
          <w:rFonts w:hint="eastAsia" w:ascii="Times New Roman" w:hAnsi="仿宋" w:eastAsia="仿宋"/>
          <w:color w:val="auto"/>
          <w:sz w:val="32"/>
          <w:szCs w:val="32"/>
          <w:lang w:eastAsia="zh-CN"/>
        </w:rPr>
        <w:t>；</w:t>
      </w:r>
      <w:r>
        <w:rPr>
          <w:rFonts w:hint="eastAsia" w:ascii="Times New Roman" w:hAnsi="仿宋" w:eastAsia="仿宋" w:cstheme="minorBidi"/>
          <w:color w:val="auto"/>
          <w:sz w:val="32"/>
          <w:szCs w:val="32"/>
          <w:lang w:val="en-US" w:eastAsia="zh-CN"/>
        </w:rPr>
        <w:t>无行贿犯罪记录告知函；</w:t>
      </w:r>
    </w:p>
    <w:p>
      <w:pPr>
        <w:spacing w:line="4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color w:val="auto"/>
          <w:sz w:val="32"/>
          <w:szCs w:val="32"/>
          <w:lang w:eastAsia="zh-CN"/>
        </w:rPr>
        <w:t>报固定</w:t>
      </w:r>
      <w:r>
        <w:rPr>
          <w:rFonts w:hint="eastAsia" w:ascii="Times New Roman" w:hAnsi="仿宋" w:eastAsia="仿宋"/>
          <w:color w:val="auto"/>
          <w:sz w:val="32"/>
          <w:szCs w:val="32"/>
        </w:rPr>
        <w:t>总价</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并附报价单位联系人及联系方式）；</w:t>
      </w:r>
    </w:p>
    <w:p>
      <w:pPr>
        <w:spacing w:line="48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第四章、企业近两年已完成类似项目一览表（须附合同或中</w:t>
      </w:r>
      <w:bookmarkStart w:id="1" w:name="_GoBack"/>
      <w:bookmarkEnd w:id="1"/>
      <w:r>
        <w:rPr>
          <w:rFonts w:hint="eastAsia" w:ascii="Times New Roman" w:hAnsi="仿宋" w:eastAsia="仿宋"/>
          <w:color w:val="auto"/>
          <w:sz w:val="32"/>
          <w:szCs w:val="32"/>
          <w:lang w:eastAsia="zh-CN"/>
        </w:rPr>
        <w:t>标通知书）；</w:t>
      </w:r>
    </w:p>
    <w:p>
      <w:pPr>
        <w:spacing w:line="48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w:t>
      </w:r>
    </w:p>
    <w:p>
      <w:pPr>
        <w:spacing w:line="48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第六章、拟投入本项目人员情况（须附人员相关证书及社保缴纳证明，</w:t>
      </w:r>
      <w:r>
        <w:rPr>
          <w:rFonts w:hint="eastAsia" w:ascii="Times New Roman" w:hAnsi="Times New Roman" w:eastAsia="仿宋"/>
          <w:sz w:val="32"/>
          <w:szCs w:val="32"/>
        </w:rPr>
        <w:t>且投入的项目经理须具备机电工程专业贰级以上（含贰级）注册建造师执业资格</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default" w:ascii="黑体" w:hAnsi="黑体" w:eastAsia="黑体" w:cs="Times New Roman"/>
          <w:b w:val="0"/>
          <w:bCs w:val="0"/>
          <w:color w:val="auto"/>
          <w:sz w:val="32"/>
          <w:szCs w:val="32"/>
        </w:rPr>
      </w:pPr>
      <w:r>
        <w:rPr>
          <w:rFonts w:hint="eastAsia" w:ascii="Times New Roman" w:hAnsi="仿宋" w:eastAsia="仿宋"/>
          <w:b/>
          <w:bCs/>
          <w:color w:val="auto"/>
          <w:sz w:val="32"/>
          <w:szCs w:val="32"/>
        </w:rPr>
        <w:t> </w:t>
      </w:r>
      <w:r>
        <w:rPr>
          <w:rFonts w:hint="default" w:ascii="黑体" w:hAnsi="黑体" w:eastAsia="黑体" w:cs="Times New Roman"/>
          <w:b w:val="0"/>
          <w:bCs w:val="0"/>
          <w:color w:val="auto"/>
          <w:sz w:val="32"/>
          <w:szCs w:val="32"/>
        </w:rPr>
        <w:t>四、评审规则</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48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黑体" w:hAnsi="黑体" w:eastAsia="黑体" w:cs="Times New Roman"/>
          <w:color w:val="auto"/>
          <w:sz w:val="32"/>
          <w:szCs w:val="32"/>
        </w:rPr>
      </w:pPr>
      <w:r>
        <w:rPr>
          <w:rFonts w:hint="default" w:ascii="黑体" w:hAnsi="黑体" w:eastAsia="黑体" w:cs="Times New Roman"/>
          <w:b w:val="0"/>
          <w:bCs w:val="0"/>
          <w:color w:val="auto"/>
          <w:sz w:val="32"/>
          <w:szCs w:val="32"/>
        </w:rPr>
        <w:t>五、评分办法</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keepNext w:val="0"/>
        <w:keepLines w:val="0"/>
        <w:pageBreakBefore w:val="0"/>
        <w:widowControl w:val="0"/>
        <w:kinsoku/>
        <w:wordWrap/>
        <w:overflowPunct/>
        <w:topLinePunct w:val="0"/>
        <w:autoSpaceDE/>
        <w:autoSpaceDN/>
        <w:bidi w:val="0"/>
        <w:adjustRightInd/>
        <w:snapToGrid/>
        <w:spacing w:line="480" w:lineRule="exact"/>
        <w:ind w:left="638" w:leftChars="304" w:firstLine="0" w:firstLineChars="0"/>
        <w:textAlignment w:val="auto"/>
        <w:rPr>
          <w:rFonts w:hint="eastAsia" w:ascii="Times New Roman" w:hAnsi="仿宋" w:eastAsia="仿宋"/>
          <w:color w:val="auto"/>
          <w:sz w:val="32"/>
          <w:szCs w:val="32"/>
        </w:rPr>
      </w:pPr>
      <w:r>
        <w:rPr>
          <w:rFonts w:ascii="Times New Roman" w:hAnsi="Times New Roman" w:eastAsia="仿宋"/>
          <w:color w:val="auto"/>
          <w:sz w:val="32"/>
          <w:szCs w:val="32"/>
        </w:rPr>
        <w:t>本项目</w:t>
      </w:r>
      <w:r>
        <w:rPr>
          <w:rFonts w:hint="eastAsia" w:ascii="Times New Roman" w:hAnsi="Times New Roman" w:eastAsia="仿宋"/>
          <w:color w:val="auto"/>
          <w:sz w:val="32"/>
          <w:szCs w:val="32"/>
          <w:lang w:eastAsia="zh-CN"/>
        </w:rPr>
        <w:t>设计</w:t>
      </w:r>
      <w:r>
        <w:rPr>
          <w:rFonts w:hint="eastAsia" w:ascii="Times New Roman" w:hAnsi="Times New Roman" w:eastAsia="仿宋"/>
          <w:color w:val="auto"/>
          <w:sz w:val="32"/>
          <w:szCs w:val="32"/>
        </w:rPr>
        <w:t>服务</w:t>
      </w:r>
      <w:r>
        <w:rPr>
          <w:rFonts w:ascii="Times New Roman" w:hAnsi="Times New Roman" w:eastAsia="仿宋"/>
          <w:color w:val="auto"/>
          <w:sz w:val="32"/>
          <w:szCs w:val="32"/>
        </w:rPr>
        <w:t>预算</w:t>
      </w:r>
      <w:r>
        <w:rPr>
          <w:rFonts w:hint="eastAsia" w:ascii="Times New Roman" w:hAnsi="仿宋" w:eastAsia="仿宋"/>
          <w:color w:val="auto"/>
          <w:sz w:val="32"/>
          <w:szCs w:val="32"/>
        </w:rPr>
        <w:t>控制价</w:t>
      </w:r>
      <w:r>
        <w:rPr>
          <w:rFonts w:hint="eastAsia" w:ascii="Times New Roman" w:hAnsi="仿宋" w:eastAsia="仿宋"/>
          <w:color w:val="auto"/>
          <w:sz w:val="32"/>
          <w:szCs w:val="32"/>
          <w:lang w:eastAsia="zh-CN"/>
        </w:rPr>
        <w:t>为：</w:t>
      </w:r>
      <w:r>
        <w:rPr>
          <w:rFonts w:hint="eastAsia" w:ascii="Times New Roman" w:hAnsi="仿宋" w:eastAsia="仿宋"/>
          <w:color w:val="auto"/>
          <w:sz w:val="32"/>
          <w:szCs w:val="32"/>
          <w:lang w:val="en-US" w:eastAsia="zh-CN"/>
        </w:rPr>
        <w:t>32.606915万元</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60%，满分6分</w:t>
      </w:r>
      <w:r>
        <w:rPr>
          <w:rFonts w:hint="eastAsia" w:ascii="Times New Roman" w:hAnsi="仿宋" w:eastAsia="仿宋"/>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及</w:t>
      </w:r>
      <w:r>
        <w:rPr>
          <w:rFonts w:hint="eastAsia" w:ascii="Times New Roman" w:hAnsi="仿宋" w:eastAsia="仿宋"/>
          <w:sz w:val="32"/>
          <w:szCs w:val="32"/>
          <w:lang w:val="en-US" w:eastAsia="zh-CN"/>
        </w:rPr>
        <w:t>低于控制价80%的作无效处理，</w:t>
      </w:r>
      <w:r>
        <w:rPr>
          <w:rFonts w:hint="eastAsia" w:ascii="Times New Roman" w:hAnsi="仿宋" w:eastAsia="仿宋"/>
          <w:color w:val="auto"/>
          <w:sz w:val="32"/>
          <w:szCs w:val="32"/>
          <w:lang w:val="en-US" w:eastAsia="zh-CN"/>
        </w:rPr>
        <w:t>评审按以下五个档进行：</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640" w:firstLineChars="200"/>
        <w:textAlignment w:val="auto"/>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1/5*6</w:t>
      </w:r>
      <w:r>
        <w:rPr>
          <w:rFonts w:hint="eastAsia" w:ascii="Times New Roman" w:hAnsi="Times New Roman" w:eastAsia="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4/5*6）；</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8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5/5*6）。</w:t>
      </w:r>
    </w:p>
    <w:p>
      <w:pPr>
        <w:keepNext w:val="0"/>
        <w:keepLines w:val="0"/>
        <w:pageBreakBefore w:val="0"/>
        <w:widowControl w:val="0"/>
        <w:numPr>
          <w:ilvl w:val="0"/>
          <w:numId w:val="2"/>
        </w:numPr>
        <w:kinsoku/>
        <w:wordWrap/>
        <w:overflowPunct/>
        <w:topLinePunct w:val="0"/>
        <w:autoSpaceDE/>
        <w:autoSpaceDN/>
        <w:bidi w:val="0"/>
        <w:adjustRightInd/>
        <w:snapToGrid/>
        <w:spacing w:beforeLines="0" w:afterLines="0" w:line="48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40%，满分4分</w:t>
      </w:r>
      <w:r>
        <w:rPr>
          <w:rFonts w:hint="eastAsia" w:ascii="Times New Roman" w:hAnsi="仿宋" w:eastAsia="仿宋"/>
          <w:color w:val="auto"/>
          <w:sz w:val="32"/>
          <w:szCs w:val="32"/>
        </w:rPr>
        <w:t>）</w:t>
      </w:r>
    </w:p>
    <w:p>
      <w:pPr>
        <w:numPr>
          <w:ilvl w:val="-1"/>
          <w:numId w:val="0"/>
        </w:numPr>
        <w:spacing w:beforeLines="0" w:afterLines="0" w:line="280" w:lineRule="exact"/>
        <w:jc w:val="both"/>
        <w:rPr>
          <w:rFonts w:hint="eastAsia" w:ascii="Times New Roman" w:hAnsi="仿宋" w:eastAsia="仿宋"/>
          <w:color w:val="auto"/>
          <w:sz w:val="32"/>
          <w:szCs w:val="32"/>
          <w:lang w:eastAsia="zh-CN"/>
        </w:rPr>
        <w:sectPr>
          <w:headerReference r:id="rId3" w:type="default"/>
          <w:footerReference r:id="rId4" w:type="default"/>
          <w:pgSz w:w="11906" w:h="16838"/>
          <w:pgMar w:top="2041" w:right="1361" w:bottom="1814" w:left="1474" w:header="851" w:footer="992" w:gutter="0"/>
          <w:cols w:space="0" w:num="1"/>
          <w:rtlGutter w:val="0"/>
          <w:docGrid w:type="lines" w:linePitch="321" w:charSpace="0"/>
        </w:sectPr>
      </w:pPr>
    </w:p>
    <w:tbl>
      <w:tblPr>
        <w:tblStyle w:val="13"/>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194"/>
        <w:gridCol w:w="3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664"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序号</w:t>
            </w:r>
          </w:p>
        </w:tc>
        <w:tc>
          <w:tcPr>
            <w:tcW w:w="1170"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w:t>
            </w:r>
          </w:p>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项目</w:t>
            </w:r>
          </w:p>
        </w:tc>
        <w:tc>
          <w:tcPr>
            <w:tcW w:w="1695"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权重</w:t>
            </w:r>
          </w:p>
        </w:tc>
        <w:tc>
          <w:tcPr>
            <w:tcW w:w="2194"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评审依据</w:t>
            </w:r>
          </w:p>
        </w:tc>
        <w:tc>
          <w:tcPr>
            <w:tcW w:w="3450"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0" w:hRule="atLeast"/>
        </w:trPr>
        <w:tc>
          <w:tcPr>
            <w:tcW w:w="664"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1</w:t>
            </w:r>
          </w:p>
        </w:tc>
        <w:tc>
          <w:tcPr>
            <w:tcW w:w="1170"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b w:val="0"/>
                <w:bCs w:val="0"/>
                <w:color w:val="auto"/>
                <w:sz w:val="30"/>
                <w:szCs w:val="30"/>
                <w:lang w:val="en-US" w:eastAsia="zh-CN"/>
              </w:rPr>
              <w:t>资质</w:t>
            </w:r>
          </w:p>
        </w:tc>
        <w:tc>
          <w:tcPr>
            <w:tcW w:w="1695"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194"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2"/>
                <w:szCs w:val="32"/>
                <w:lang w:val="en-US" w:eastAsia="zh-CN"/>
              </w:rPr>
              <w:t>根据资质证书的等级进行评审，评审按五个档进行</w:t>
            </w:r>
          </w:p>
        </w:tc>
        <w:tc>
          <w:tcPr>
            <w:tcW w:w="3450" w:type="dxa"/>
            <w:vAlign w:val="center"/>
          </w:tcPr>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280" w:lineRule="exact"/>
              <w:jc w:val="both"/>
              <w:rPr>
                <w:rFonts w:hint="eastAsia" w:ascii="Times New Roman" w:hAnsi="仿宋" w:eastAsia="仿宋"/>
                <w:color w:val="auto"/>
                <w:sz w:val="30"/>
                <w:szCs w:val="30"/>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5" w:hRule="atLeast"/>
        </w:trPr>
        <w:tc>
          <w:tcPr>
            <w:tcW w:w="664"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2</w:t>
            </w:r>
          </w:p>
        </w:tc>
        <w:tc>
          <w:tcPr>
            <w:tcW w:w="1170"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业绩</w:t>
            </w:r>
          </w:p>
        </w:tc>
        <w:tc>
          <w:tcPr>
            <w:tcW w:w="1695"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194"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根据所附业绩合同或中标通知书数量、合同金额大小等方面进行横向对比评审，</w:t>
            </w:r>
            <w:r>
              <w:rPr>
                <w:rFonts w:hint="eastAsia" w:ascii="Times New Roman" w:hAnsi="仿宋" w:eastAsia="仿宋"/>
                <w:color w:val="auto"/>
                <w:sz w:val="32"/>
                <w:szCs w:val="32"/>
                <w:lang w:val="en-US" w:eastAsia="zh-CN"/>
              </w:rPr>
              <w:t>评审按五个档进行</w:t>
            </w:r>
          </w:p>
        </w:tc>
        <w:tc>
          <w:tcPr>
            <w:tcW w:w="3450" w:type="dxa"/>
            <w:vAlign w:val="center"/>
          </w:tcPr>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280" w:lineRule="exact"/>
              <w:jc w:val="lef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0" w:hRule="atLeast"/>
        </w:trPr>
        <w:tc>
          <w:tcPr>
            <w:tcW w:w="664"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3</w:t>
            </w:r>
          </w:p>
        </w:tc>
        <w:tc>
          <w:tcPr>
            <w:tcW w:w="1170"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施工组织设计</w:t>
            </w:r>
          </w:p>
        </w:tc>
        <w:tc>
          <w:tcPr>
            <w:tcW w:w="1695"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194"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各项计划、措施是否</w:t>
            </w:r>
            <w:r>
              <w:rPr>
                <w:rFonts w:hint="eastAsia" w:ascii="Times New Roman" w:hAnsi="仿宋" w:eastAsia="仿宋"/>
                <w:color w:val="auto"/>
                <w:sz w:val="32"/>
                <w:szCs w:val="32"/>
              </w:rPr>
              <w:t>合理、具体可行，内容是否齐</w:t>
            </w:r>
            <w:r>
              <w:rPr>
                <w:rFonts w:hint="eastAsia" w:ascii="Times New Roman" w:hAnsi="仿宋" w:eastAsia="仿宋"/>
                <w:color w:val="auto"/>
                <w:sz w:val="32"/>
                <w:szCs w:val="32"/>
                <w:lang w:eastAsia="zh-CN"/>
              </w:rPr>
              <w:t>等方面的内容进行横向对比评审，</w:t>
            </w:r>
            <w:r>
              <w:rPr>
                <w:rFonts w:hint="eastAsia" w:ascii="Times New Roman" w:hAnsi="仿宋" w:eastAsia="仿宋"/>
                <w:color w:val="auto"/>
                <w:sz w:val="32"/>
                <w:szCs w:val="32"/>
                <w:lang w:val="en-US" w:eastAsia="zh-CN"/>
              </w:rPr>
              <w:t>评审按五个档进行</w:t>
            </w:r>
          </w:p>
        </w:tc>
        <w:tc>
          <w:tcPr>
            <w:tcW w:w="3450" w:type="dxa"/>
            <w:vAlign w:val="center"/>
          </w:tcPr>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0"/>
                <w:numId w:val="0"/>
              </w:numPr>
              <w:spacing w:beforeLines="0" w:afterLines="0" w:line="28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28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5" w:hRule="atLeast"/>
        </w:trPr>
        <w:tc>
          <w:tcPr>
            <w:tcW w:w="664"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4</w:t>
            </w:r>
          </w:p>
        </w:tc>
        <w:tc>
          <w:tcPr>
            <w:tcW w:w="1170"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人员配置</w:t>
            </w:r>
          </w:p>
        </w:tc>
        <w:tc>
          <w:tcPr>
            <w:tcW w:w="1695" w:type="dxa"/>
            <w:vAlign w:val="center"/>
          </w:tcPr>
          <w:p>
            <w:pPr>
              <w:numPr>
                <w:ilvl w:val="-1"/>
                <w:numId w:val="0"/>
              </w:numPr>
              <w:spacing w:beforeLines="0" w:afterLines="0" w:line="28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194" w:type="dxa"/>
            <w:vAlign w:val="center"/>
          </w:tcPr>
          <w:p>
            <w:pPr>
              <w:numPr>
                <w:ilvl w:val="-1"/>
                <w:numId w:val="0"/>
              </w:numPr>
              <w:spacing w:beforeLines="0" w:afterLines="0" w:line="28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人员配备的合理性、充足性、人员资格证书等方面进行横向对比评审，</w:t>
            </w:r>
            <w:r>
              <w:rPr>
                <w:rFonts w:hint="eastAsia" w:ascii="Times New Roman" w:hAnsi="仿宋" w:eastAsia="仿宋"/>
                <w:color w:val="auto"/>
                <w:sz w:val="32"/>
                <w:szCs w:val="32"/>
                <w:lang w:val="en-US" w:eastAsia="zh-CN"/>
              </w:rPr>
              <w:t>评审按五个档进行</w:t>
            </w:r>
          </w:p>
        </w:tc>
        <w:tc>
          <w:tcPr>
            <w:tcW w:w="3450" w:type="dxa"/>
            <w:vAlign w:val="center"/>
          </w:tcPr>
          <w:p>
            <w:pPr>
              <w:numPr>
                <w:ilvl w:val="-1"/>
                <w:numId w:val="0"/>
              </w:numPr>
              <w:spacing w:beforeLines="-2147483648" w:afterLines="-2147483648" w:line="28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1"/>
                <w:numId w:val="0"/>
              </w:numPr>
              <w:spacing w:beforeLines="-2147483648" w:afterLines="-2147483648" w:line="28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1"/>
                <w:numId w:val="0"/>
              </w:numPr>
              <w:spacing w:line="28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1"/>
                <w:numId w:val="0"/>
              </w:numPr>
              <w:spacing w:beforeLines="-2147483648" w:afterLines="-2147483648" w:line="28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bl>
    <w:p>
      <w:pPr>
        <w:numPr>
          <w:ilvl w:val="-1"/>
          <w:numId w:val="0"/>
        </w:numPr>
        <w:spacing w:line="520" w:lineRule="exact"/>
        <w:ind w:firstLine="640" w:firstLineChars="200"/>
        <w:rPr>
          <w:rFonts w:hint="eastAsia" w:ascii="Times New Roman" w:hAnsi="仿宋" w:eastAsia="仿宋"/>
          <w:color w:val="auto"/>
          <w:sz w:val="32"/>
          <w:szCs w:val="32"/>
          <w:lang w:eastAsia="zh-CN"/>
        </w:rPr>
        <w:sectPr>
          <w:pgSz w:w="11906" w:h="16838"/>
          <w:pgMar w:top="1814" w:right="1361" w:bottom="1814" w:left="1474" w:header="851" w:footer="992" w:gutter="0"/>
          <w:cols w:space="0" w:num="1"/>
          <w:rtlGutter w:val="0"/>
          <w:docGrid w:type="lines" w:linePitch="321" w:charSpace="0"/>
        </w:sectPr>
      </w:pPr>
      <w:bookmarkStart w:id="0" w:name="OLE_LINK1"/>
    </w:p>
    <w:p>
      <w:pPr>
        <w:numPr>
          <w:ilvl w:val="-1"/>
          <w:numId w:val="0"/>
        </w:numPr>
        <w:spacing w:line="520" w:lineRule="exact"/>
        <w:ind w:firstLine="640" w:firstLineChars="200"/>
        <w:rPr>
          <w:rFonts w:hint="eastAsia" w:ascii="Times New Roman" w:hAnsi="仿宋" w:eastAsia="仿宋"/>
          <w:color w:val="auto"/>
          <w:sz w:val="32"/>
          <w:szCs w:val="32"/>
          <w:lang w:eastAsia="zh-CN"/>
        </w:rPr>
      </w:pPr>
    </w:p>
    <w:bookmarkEnd w:id="0"/>
    <w:p>
      <w:pPr>
        <w:spacing w:line="520" w:lineRule="exact"/>
        <w:ind w:firstLine="640" w:firstLineChars="200"/>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rPr>
        <w:t>六、中选候选人推荐原则</w:t>
      </w:r>
    </w:p>
    <w:p>
      <w:pPr>
        <w:spacing w:beforeLines="-2147483648" w:afterLines="-2147483648" w:line="52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2147483648" w:afterLines="-2147483648" w:line="520" w:lineRule="exact"/>
        <w:ind w:firstLine="640" w:firstLineChars="200"/>
        <w:rPr>
          <w:rFonts w:hint="eastAsia" w:ascii="Times New Roman" w:hAnsi="仿宋" w:eastAsia="仿宋"/>
          <w:color w:val="auto"/>
          <w:sz w:val="32"/>
          <w:szCs w:val="32"/>
          <w:lang w:eastAsia="zh-CN"/>
        </w:rPr>
      </w:pPr>
    </w:p>
    <w:p>
      <w:pPr>
        <w:spacing w:beforeLines="-2147483648" w:afterLines="-2147483648" w:line="52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附件</w:t>
      </w:r>
      <w:r>
        <w:rPr>
          <w:rFonts w:hint="eastAsia" w:ascii="Times New Roman" w:hAnsi="仿宋" w:eastAsia="仿宋"/>
          <w:color w:val="auto"/>
          <w:sz w:val="32"/>
          <w:szCs w:val="32"/>
          <w:lang w:val="en-US" w:eastAsia="zh-CN"/>
        </w:rPr>
        <w:t>：中马钦州产业园区启动区路灯箱变项目工程南五街、南四街10kV配电部分施工合同</w:t>
      </w:r>
    </w:p>
    <w:p>
      <w:pPr>
        <w:spacing w:line="520" w:lineRule="exact"/>
        <w:ind w:firstLine="0" w:firstLineChars="0"/>
        <w:rPr>
          <w:rFonts w:hint="eastAsia" w:ascii="Times New Roman" w:hAnsi="仿宋" w:eastAsia="仿宋"/>
          <w:color w:val="auto"/>
          <w:sz w:val="32"/>
          <w:szCs w:val="32"/>
          <w:lang w:eastAsia="zh-CN"/>
        </w:rPr>
      </w:pPr>
    </w:p>
    <w:p>
      <w:pPr>
        <w:spacing w:line="520" w:lineRule="exact"/>
        <w:ind w:firstLine="0" w:firstLineChars="0"/>
        <w:rPr>
          <w:rFonts w:hint="eastAsia" w:ascii="Times New Roman" w:hAnsi="仿宋" w:eastAsia="仿宋"/>
          <w:color w:val="auto"/>
          <w:sz w:val="32"/>
          <w:szCs w:val="32"/>
          <w:lang w:eastAsia="zh-CN"/>
        </w:rPr>
      </w:pPr>
    </w:p>
    <w:p>
      <w:pPr>
        <w:spacing w:line="520" w:lineRule="exact"/>
        <w:ind w:firstLine="640" w:firstLineChars="200"/>
        <w:rPr>
          <w:rFonts w:hint="eastAsia" w:ascii="Times New Roman" w:hAnsi="仿宋" w:eastAsia="仿宋"/>
          <w:color w:val="auto"/>
          <w:sz w:val="32"/>
          <w:szCs w:val="32"/>
        </w:rPr>
      </w:pPr>
    </w:p>
    <w:p>
      <w:pPr>
        <w:spacing w:line="520" w:lineRule="exact"/>
        <w:ind w:firstLine="640" w:firstLineChars="200"/>
        <w:rPr>
          <w:rFonts w:hint="eastAsia" w:ascii="Times New Roman" w:hAnsi="仿宋" w:eastAsia="仿宋"/>
          <w:color w:val="auto"/>
          <w:sz w:val="32"/>
          <w:szCs w:val="32"/>
        </w:rPr>
      </w:pPr>
    </w:p>
    <w:p>
      <w:pPr>
        <w:spacing w:line="520"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2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3</w:t>
      </w:r>
      <w:r>
        <w:rPr>
          <w:rFonts w:hint="eastAsia" w:ascii="Times New Roman" w:hAnsi="仿宋" w:eastAsia="仿宋"/>
          <w:color w:val="auto"/>
          <w:sz w:val="32"/>
          <w:szCs w:val="32"/>
        </w:rPr>
        <w:t>日</w:t>
      </w:r>
    </w:p>
    <w:p>
      <w:pPr>
        <w:spacing w:line="520" w:lineRule="exact"/>
        <w:rPr>
          <w:rFonts w:hint="eastAsia" w:ascii="Times New Roman" w:hAnsi="仿宋" w:eastAsia="仿宋"/>
          <w:color w:val="auto"/>
          <w:sz w:val="32"/>
          <w:szCs w:val="32"/>
          <w:lang w:eastAsia="zh-CN"/>
        </w:rPr>
      </w:pPr>
    </w:p>
    <w:p>
      <w:pPr>
        <w:spacing w:line="52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sz w:val="32"/>
          <w:szCs w:val="32"/>
        </w:rPr>
      </w:pPr>
    </w:p>
    <w:p>
      <w:pPr>
        <w:spacing w:line="540" w:lineRule="exact"/>
        <w:rPr>
          <w:rFonts w:hint="eastAsia" w:ascii="Times New Roman" w:hAnsi="仿宋" w:eastAsia="仿宋"/>
          <w:sz w:val="32"/>
          <w:szCs w:val="32"/>
          <w:lang w:eastAsia="zh-CN"/>
        </w:rPr>
      </w:pPr>
      <w:r>
        <w:rPr>
          <w:rFonts w:hint="eastAsia" w:ascii="Times New Roman" w:hAnsi="仿宋" w:eastAsia="仿宋"/>
          <w:sz w:val="32"/>
          <w:szCs w:val="32"/>
          <w:lang w:eastAsia="zh-CN"/>
        </w:rPr>
        <w:t>附件：</w:t>
      </w:r>
    </w:p>
    <w:p>
      <w:pPr>
        <w:spacing w:line="1000" w:lineRule="exact"/>
        <w:jc w:val="center"/>
        <w:rPr>
          <w:rFonts w:hint="eastAsia" w:ascii="宋体" w:hAnsi="宋体" w:cs="宋体"/>
          <w:sz w:val="52"/>
          <w:szCs w:val="52"/>
        </w:rPr>
      </w:pPr>
      <w:r>
        <w:rPr>
          <w:rFonts w:hint="eastAsia" w:ascii="宋体" w:hAnsi="宋体" w:cs="宋体"/>
          <w:sz w:val="44"/>
          <w:szCs w:val="44"/>
        </w:rPr>
        <w:t xml:space="preserve">中马钦州产业园区启动区路灯箱变项目工程 南五街、南四街10kV配电部分  </w:t>
      </w:r>
      <w:r>
        <w:rPr>
          <w:rFonts w:hint="eastAsia" w:ascii="宋体" w:hAnsi="宋体" w:cs="宋体"/>
          <w:sz w:val="52"/>
          <w:szCs w:val="52"/>
        </w:rPr>
        <w:t xml:space="preserve"> </w:t>
      </w:r>
    </w:p>
    <w:p>
      <w:pPr>
        <w:spacing w:line="1000" w:lineRule="exact"/>
        <w:jc w:val="center"/>
        <w:rPr>
          <w:rFonts w:hint="eastAsia" w:ascii="宋体" w:hAnsi="宋体" w:cs="宋体"/>
          <w:b/>
          <w:caps/>
          <w:color w:val="000000"/>
          <w:sz w:val="52"/>
          <w:szCs w:val="52"/>
        </w:rPr>
      </w:pPr>
      <w:r>
        <w:rPr>
          <w:rFonts w:hint="eastAsia" w:ascii="宋体" w:hAnsi="宋体" w:cs="宋体"/>
          <w:b/>
          <w:caps/>
          <w:color w:val="000000"/>
          <w:sz w:val="52"/>
          <w:szCs w:val="52"/>
        </w:rPr>
        <w:t>施工合同</w:t>
      </w:r>
    </w:p>
    <w:p>
      <w:pPr>
        <w:spacing w:line="1000" w:lineRule="exact"/>
        <w:jc w:val="center"/>
        <w:rPr>
          <w:rFonts w:hint="eastAsia" w:ascii="宋体" w:hAnsi="宋体" w:cs="宋体"/>
          <w:b/>
          <w:caps/>
          <w:color w:val="000000"/>
          <w:sz w:val="52"/>
          <w:szCs w:val="52"/>
        </w:rPr>
      </w:pPr>
    </w:p>
    <w:p>
      <w:pPr>
        <w:spacing w:line="560" w:lineRule="exact"/>
        <w:jc w:val="center"/>
        <w:rPr>
          <w:rFonts w:hint="eastAsia" w:ascii="方正小标宋_GBK" w:eastAsia="方正小标宋_GBK"/>
          <w:sz w:val="24"/>
        </w:rPr>
      </w:pPr>
      <w:r>
        <w:rPr>
          <w:rFonts w:hint="eastAsia" w:ascii="方正小标宋_GBK" w:eastAsia="方正小标宋_GBK"/>
          <w:sz w:val="24"/>
        </w:rPr>
        <w:t>（甲方合同编号：     ）</w:t>
      </w:r>
    </w:p>
    <w:p>
      <w:pPr>
        <w:spacing w:line="560" w:lineRule="exact"/>
        <w:jc w:val="center"/>
        <w:rPr>
          <w:rFonts w:hint="eastAsia" w:ascii="方正小标宋_GBK" w:eastAsia="方正小标宋_GBK"/>
          <w:sz w:val="24"/>
        </w:rPr>
      </w:pPr>
      <w:r>
        <w:rPr>
          <w:rFonts w:hint="eastAsia" w:ascii="方正小标宋_GBK" w:eastAsia="方正小标宋_GBK"/>
          <w:sz w:val="24"/>
        </w:rPr>
        <w:t>（乙方合同编号：     ）</w:t>
      </w:r>
    </w:p>
    <w:p>
      <w:pPr>
        <w:spacing w:line="560" w:lineRule="exact"/>
        <w:rPr>
          <w:rFonts w:hint="eastAsia" w:ascii="方正小标宋_GBK" w:eastAsia="方正小标宋_GBK"/>
        </w:rPr>
      </w:pPr>
    </w:p>
    <w:p>
      <w:pPr>
        <w:spacing w:line="360" w:lineRule="auto"/>
        <w:ind w:left="2525" w:leftChars="150" w:hanging="2210" w:hangingChars="688"/>
        <w:rPr>
          <w:rFonts w:hint="eastAsia" w:ascii="宋体" w:hAnsi="宋体"/>
          <w:b/>
          <w:sz w:val="32"/>
        </w:rPr>
      </w:pPr>
    </w:p>
    <w:p>
      <w:pPr>
        <w:spacing w:line="360" w:lineRule="auto"/>
        <w:ind w:left="2525" w:leftChars="150" w:hanging="2210" w:hangingChars="688"/>
        <w:rPr>
          <w:rFonts w:hint="eastAsia" w:ascii="宋体" w:hAnsi="宋体"/>
          <w:b/>
          <w:sz w:val="32"/>
        </w:rPr>
      </w:pPr>
    </w:p>
    <w:p>
      <w:pPr>
        <w:spacing w:line="360" w:lineRule="auto"/>
        <w:ind w:left="2525" w:leftChars="150" w:hanging="2210" w:hangingChars="688"/>
        <w:rPr>
          <w:rFonts w:hint="eastAsia" w:ascii="宋体" w:hAnsi="宋体"/>
          <w:b/>
          <w:sz w:val="32"/>
        </w:rPr>
      </w:pPr>
    </w:p>
    <w:p>
      <w:pPr>
        <w:spacing w:line="360" w:lineRule="auto"/>
        <w:ind w:left="2525" w:leftChars="150" w:hanging="2210" w:hangingChars="688"/>
        <w:rPr>
          <w:rFonts w:hint="eastAsia" w:ascii="宋体" w:hAnsi="宋体"/>
          <w:b/>
          <w:sz w:val="32"/>
        </w:rPr>
      </w:pPr>
    </w:p>
    <w:p>
      <w:pPr>
        <w:spacing w:line="360" w:lineRule="auto"/>
        <w:ind w:left="2525" w:leftChars="150" w:hanging="2210" w:hangingChars="688"/>
        <w:rPr>
          <w:rFonts w:hint="eastAsia" w:ascii="宋体" w:hAnsi="宋体" w:eastAsiaTheme="minorEastAsia"/>
          <w:b/>
          <w:sz w:val="32"/>
          <w:u w:val="single"/>
          <w:lang w:val="en-US" w:eastAsia="zh-CN"/>
        </w:rPr>
      </w:pPr>
      <w:r>
        <w:rPr>
          <w:rFonts w:hint="eastAsia" w:ascii="宋体" w:hAnsi="宋体"/>
          <w:b/>
          <w:sz w:val="32"/>
        </w:rPr>
        <w:t>工 程 名 称 ：</w:t>
      </w:r>
      <w:r>
        <w:rPr>
          <w:rFonts w:hint="eastAsia" w:ascii="宋体" w:hAnsi="宋体"/>
          <w:b/>
          <w:sz w:val="32"/>
          <w:u w:val="single"/>
        </w:rPr>
        <w:t>中马钦州产业园区启动区路灯箱变项目工程南五街、南四街10kV配电部分</w:t>
      </w:r>
      <w:r>
        <w:rPr>
          <w:rFonts w:hint="eastAsia" w:ascii="宋体" w:hAnsi="宋体"/>
          <w:b/>
          <w:sz w:val="32"/>
          <w:u w:val="single"/>
          <w:lang w:val="en-US" w:eastAsia="zh-CN"/>
        </w:rPr>
        <w:t xml:space="preserve">             </w:t>
      </w:r>
    </w:p>
    <w:p>
      <w:pPr>
        <w:spacing w:line="360" w:lineRule="auto"/>
        <w:ind w:left="2552" w:leftChars="152" w:hanging="2233" w:hangingChars="695"/>
        <w:rPr>
          <w:rFonts w:hint="eastAsia" w:ascii="宋体" w:hAnsi="宋体"/>
          <w:b/>
          <w:sz w:val="32"/>
          <w:u w:val="single"/>
        </w:rPr>
      </w:pPr>
      <w:r>
        <w:rPr>
          <w:rFonts w:hint="eastAsia" w:ascii="宋体" w:hAnsi="宋体"/>
          <w:b/>
          <w:sz w:val="32"/>
        </w:rPr>
        <w:t>甲方(发包人)：</w:t>
      </w:r>
      <w:r>
        <w:rPr>
          <w:rFonts w:hint="eastAsia" w:ascii="宋体" w:hAnsi="宋体"/>
          <w:b/>
          <w:sz w:val="32"/>
          <w:u w:val="single"/>
        </w:rPr>
        <w:t xml:space="preserve">广西中马钦州产业园区开发有限公司      </w:t>
      </w:r>
    </w:p>
    <w:p>
      <w:pPr>
        <w:spacing w:line="360" w:lineRule="auto"/>
        <w:ind w:firstLine="321" w:firstLineChars="100"/>
        <w:rPr>
          <w:rFonts w:hint="eastAsia" w:ascii="宋体" w:hAnsi="宋体"/>
          <w:b/>
          <w:sz w:val="32"/>
          <w:u w:val="single"/>
        </w:rPr>
      </w:pPr>
      <w:r>
        <w:rPr>
          <w:rFonts w:hint="eastAsia" w:ascii="宋体" w:hAnsi="宋体"/>
          <w:b/>
          <w:sz w:val="32"/>
        </w:rPr>
        <w:t>乙方(承包人)： </w:t>
      </w:r>
      <w:r>
        <w:rPr>
          <w:rFonts w:hint="eastAsia" w:ascii="宋体" w:hAnsi="宋体"/>
          <w:b/>
          <w:sz w:val="32"/>
          <w:u w:val="single"/>
        </w:rPr>
        <w:t xml:space="preserve">*****有限公司                       </w:t>
      </w:r>
    </w:p>
    <w:p>
      <w:pPr>
        <w:spacing w:line="360" w:lineRule="auto"/>
        <w:ind w:firstLine="321" w:firstLineChars="100"/>
        <w:rPr>
          <w:rFonts w:hint="eastAsia" w:ascii="宋体" w:hAnsi="宋体"/>
          <w:b/>
          <w:sz w:val="32"/>
          <w:u w:val="single"/>
        </w:rPr>
      </w:pPr>
      <w:r>
        <w:rPr>
          <w:rFonts w:hint="eastAsia" w:ascii="宋体" w:hAnsi="宋体"/>
          <w:b/>
          <w:sz w:val="32"/>
        </w:rPr>
        <w:t>签 订 日 期 ：</w:t>
      </w:r>
      <w:r>
        <w:rPr>
          <w:rFonts w:hint="eastAsia" w:ascii="宋体" w:hAnsi="宋体"/>
          <w:b/>
          <w:sz w:val="32"/>
          <w:u w:val="single"/>
        </w:rPr>
        <w:t xml:space="preserve"> 2018年  月   日              </w:t>
      </w:r>
      <w:r>
        <w:rPr>
          <w:rFonts w:hint="eastAsia" w:ascii="宋体" w:hAnsi="宋体"/>
          <w:b/>
          <w:sz w:val="32"/>
          <w:u w:val="single"/>
          <w:lang w:val="en-US" w:eastAsia="zh-CN"/>
        </w:rPr>
        <w:t xml:space="preserve">   </w:t>
      </w:r>
      <w:r>
        <w:rPr>
          <w:rFonts w:hint="eastAsia" w:ascii="宋体" w:hAnsi="宋体"/>
          <w:b/>
          <w:sz w:val="32"/>
          <w:u w:val="single"/>
        </w:rPr>
        <w:t xml:space="preserve">    </w:t>
      </w:r>
    </w:p>
    <w:p>
      <w:pPr>
        <w:spacing w:line="360" w:lineRule="auto"/>
        <w:ind w:firstLine="321" w:firstLineChars="100"/>
        <w:rPr>
          <w:rFonts w:hint="eastAsia" w:ascii="宋体" w:hAnsi="宋体"/>
          <w:color w:val="000000"/>
          <w:sz w:val="24"/>
        </w:rPr>
      </w:pPr>
      <w:r>
        <w:rPr>
          <w:rFonts w:hint="eastAsia" w:ascii="宋体" w:hAnsi="宋体"/>
          <w:b/>
          <w:sz w:val="32"/>
        </w:rPr>
        <w:t>签 订 地 点 ：</w:t>
      </w:r>
      <w:r>
        <w:rPr>
          <w:rFonts w:hint="eastAsia" w:ascii="宋体" w:hAnsi="宋体"/>
          <w:b/>
          <w:sz w:val="32"/>
          <w:u w:val="single"/>
        </w:rPr>
        <w:t xml:space="preserve">广西中马钦州产业园区                  </w:t>
      </w:r>
      <w:r>
        <w:rPr>
          <w:rFonts w:hint="eastAsia"/>
          <w:sz w:val="28"/>
          <w:szCs w:val="28"/>
        </w:rPr>
        <w:t xml:space="preserve"> </w:t>
      </w:r>
    </w:p>
    <w:p>
      <w:pPr>
        <w:spacing w:line="360" w:lineRule="auto"/>
        <w:ind w:firstLine="0" w:firstLineChars="0"/>
        <w:rPr>
          <w:rFonts w:hint="eastAsia" w:ascii="宋体" w:hAnsi="宋体"/>
          <w:color w:val="000000"/>
          <w:sz w:val="24"/>
        </w:rPr>
      </w:pPr>
    </w:p>
    <w:p>
      <w:pPr>
        <w:spacing w:line="500" w:lineRule="exact"/>
        <w:ind w:firstLine="480" w:firstLineChars="200"/>
        <w:rPr>
          <w:rFonts w:hint="eastAsia" w:ascii="宋体" w:hAnsi="宋体"/>
          <w:color w:val="000000"/>
          <w:sz w:val="24"/>
        </w:rPr>
      </w:pPr>
      <w:r>
        <w:rPr>
          <w:rFonts w:hint="eastAsia" w:ascii="宋体" w:hAnsi="宋体"/>
          <w:color w:val="000000"/>
          <w:sz w:val="24"/>
        </w:rPr>
        <w:t xml:space="preserve">鉴于广西中马钦州产业园区路灯亮化需要，为保障路灯10kV配电设备的安全运行，甲方委托乙方对甲方中马钦州产业园区启动区路灯箱变项目工程南五街、南四街10kV配电部分进行施工。经甲、乙双方平等商议一致，达成如下具体协议： </w:t>
      </w:r>
    </w:p>
    <w:p>
      <w:pPr>
        <w:numPr>
          <w:ilvl w:val="0"/>
          <w:numId w:val="3"/>
        </w:numPr>
        <w:spacing w:line="500" w:lineRule="exact"/>
        <w:rPr>
          <w:rFonts w:hint="eastAsia" w:ascii="宋体" w:hAnsi="宋体"/>
          <w:b/>
          <w:bCs/>
          <w:color w:val="000000"/>
          <w:sz w:val="24"/>
        </w:rPr>
      </w:pPr>
      <w:r>
        <w:rPr>
          <w:rFonts w:hint="eastAsia" w:ascii="宋体" w:hAnsi="宋体"/>
          <w:b/>
          <w:bCs/>
          <w:color w:val="000000"/>
          <w:sz w:val="24"/>
        </w:rPr>
        <w:t>工程内容：</w:t>
      </w:r>
    </w:p>
    <w:p>
      <w:pPr>
        <w:numPr>
          <w:ilvl w:val="0"/>
          <w:numId w:val="4"/>
        </w:numPr>
        <w:tabs>
          <w:tab w:val="left" w:pos="1995"/>
          <w:tab w:val="left" w:pos="2205"/>
        </w:tabs>
        <w:spacing w:line="500" w:lineRule="exact"/>
        <w:ind w:left="360" w:hanging="360" w:hangingChars="150"/>
        <w:rPr>
          <w:rFonts w:hint="eastAsia" w:ascii="宋体" w:hAnsi="宋体" w:cs="宋体"/>
          <w:bCs/>
          <w:sz w:val="24"/>
          <w:szCs w:val="24"/>
        </w:rPr>
      </w:pPr>
      <w:r>
        <w:rPr>
          <w:rFonts w:hint="eastAsia" w:ascii="宋体" w:hAnsi="宋体" w:cs="宋体"/>
          <w:bCs/>
          <w:sz w:val="24"/>
          <w:szCs w:val="24"/>
        </w:rPr>
        <w:t>中马钦州产业园区启动区南五街(K1+310)200kVA路灯箱变工程：</w:t>
      </w:r>
    </w:p>
    <w:p>
      <w:pPr>
        <w:tabs>
          <w:tab w:val="left" w:pos="1995"/>
          <w:tab w:val="left" w:pos="2205"/>
        </w:tabs>
        <w:spacing w:line="500" w:lineRule="exact"/>
        <w:ind w:left="-75" w:leftChars="-150" w:hanging="240" w:hangingChars="100"/>
        <w:rPr>
          <w:rFonts w:hint="eastAsia" w:ascii="宋体" w:hAnsi="宋体"/>
          <w:sz w:val="24"/>
        </w:rPr>
      </w:pPr>
      <w:r>
        <w:rPr>
          <w:rFonts w:hint="eastAsia" w:ascii="宋体" w:hAnsi="宋体" w:cs="宋体"/>
          <w:bCs/>
          <w:sz w:val="24"/>
          <w:szCs w:val="24"/>
        </w:rPr>
        <w:t xml:space="preserve">      </w:t>
      </w:r>
      <w:r>
        <w:rPr>
          <w:rFonts w:hint="eastAsia" w:ascii="宋体" w:hAnsi="宋体"/>
          <w:sz w:val="24"/>
        </w:rPr>
        <w:t>从220kV榄坪站907保税西线弘信支下穿铁路1支3#杆T接新建1回10k架空线路至A杆，接着转电缆下地敷设电缆至新建箱变，路径总长0.519km，其中架空线路路径长0.035km，电缆线路路径长0.484km。架空线路采用JKLYJ-70架设，电缆线路采用ZC-YJV22-8.7/15kV-3x70。</w:t>
      </w:r>
    </w:p>
    <w:p>
      <w:pPr>
        <w:tabs>
          <w:tab w:val="left" w:pos="1995"/>
          <w:tab w:val="left" w:pos="2205"/>
        </w:tabs>
        <w:spacing w:line="500" w:lineRule="exact"/>
        <w:ind w:left="-315" w:leftChars="-150" w:firstLine="240" w:firstLineChars="100"/>
        <w:rPr>
          <w:rFonts w:hint="eastAsia" w:ascii="宋体" w:hAnsi="宋体" w:cs="宋体"/>
          <w:bCs/>
          <w:sz w:val="24"/>
          <w:szCs w:val="24"/>
        </w:rPr>
      </w:pPr>
      <w:r>
        <w:rPr>
          <w:rFonts w:hint="eastAsia" w:ascii="宋体" w:hAnsi="宋体"/>
          <w:sz w:val="24"/>
        </w:rPr>
        <w:t>2、</w:t>
      </w:r>
      <w:r>
        <w:rPr>
          <w:rFonts w:hint="eastAsia" w:ascii="宋体" w:hAnsi="宋体" w:cs="宋体"/>
          <w:bCs/>
          <w:sz w:val="24"/>
          <w:szCs w:val="24"/>
        </w:rPr>
        <w:t>中马钦州产业园区启动区南五街(K2+840)200kVA路灯箱变工程：</w:t>
      </w:r>
    </w:p>
    <w:p>
      <w:pPr>
        <w:tabs>
          <w:tab w:val="left" w:pos="1995"/>
          <w:tab w:val="left" w:pos="2205"/>
        </w:tabs>
        <w:spacing w:line="500" w:lineRule="exact"/>
        <w:ind w:left="-73" w:leftChars="-35" w:firstLine="480" w:firstLineChars="200"/>
        <w:rPr>
          <w:rFonts w:hint="eastAsia" w:ascii="宋体" w:hAnsi="宋体"/>
          <w:sz w:val="24"/>
        </w:rPr>
      </w:pPr>
      <w:r>
        <w:rPr>
          <w:rFonts w:hint="eastAsia" w:ascii="宋体" w:hAnsi="宋体"/>
          <w:sz w:val="24"/>
        </w:rPr>
        <w:t>本工程从220kV榄坪站907保税西线丹廖街支6#杆T接新出1回10kV电缆至新建箱变，路径长15m，电缆采用ZC-YJV22-8.7/15kV-3x70。电缆采用直埋方式敷设。</w:t>
      </w:r>
    </w:p>
    <w:p>
      <w:pPr>
        <w:tabs>
          <w:tab w:val="left" w:pos="1995"/>
          <w:tab w:val="left" w:pos="2205"/>
        </w:tabs>
        <w:spacing w:line="500" w:lineRule="exact"/>
        <w:rPr>
          <w:rFonts w:hint="eastAsia" w:ascii="宋体" w:hAnsi="宋体"/>
          <w:sz w:val="24"/>
        </w:rPr>
      </w:pPr>
      <w:r>
        <w:rPr>
          <w:rFonts w:hint="eastAsia" w:ascii="宋体" w:hAnsi="宋体"/>
          <w:sz w:val="24"/>
        </w:rPr>
        <w:t>3、中马钦州产业园区启动区路灯箱变项目工程（中马南四街与丹桂路交叉路口）：</w:t>
      </w:r>
    </w:p>
    <w:p>
      <w:pPr>
        <w:tabs>
          <w:tab w:val="left" w:pos="1995"/>
          <w:tab w:val="left" w:pos="2205"/>
        </w:tabs>
        <w:spacing w:line="500" w:lineRule="exact"/>
        <w:ind w:firstLine="480"/>
        <w:rPr>
          <w:rFonts w:hint="eastAsia" w:ascii="宋体" w:hAnsi="宋体"/>
          <w:sz w:val="24"/>
        </w:rPr>
      </w:pPr>
      <w:r>
        <w:rPr>
          <w:rFonts w:hint="eastAsia" w:ascii="宋体" w:hAnsi="宋体"/>
          <w:sz w:val="24"/>
        </w:rPr>
        <w:t>本工程从110kV独连车站914南四街I线中马南四街1号开闭所904备用间隔新出1回10k电缆沿中马南四街南侧敷设至新建电缆分接箱，电缆型号采用ZC-YJV22-8.7/15kV-3x120，路径长0.057km，电缆长0.07km。从新建电缆分接箱新出1回10k电缆沿中马南四街南侧敷设至1#箱变，电缆型号采用ZC-YJV22-8.7/15kV-3x70，路径长0.597km，电缆长0.66km。在11#井处设置1个电缆中间接头。并将6#井改造为三通井。</w:t>
      </w:r>
    </w:p>
    <w:p>
      <w:pPr>
        <w:numPr>
          <w:ilvl w:val="0"/>
          <w:numId w:val="5"/>
        </w:numPr>
        <w:tabs>
          <w:tab w:val="left" w:pos="1995"/>
          <w:tab w:val="left" w:pos="2205"/>
        </w:tabs>
        <w:spacing w:line="500" w:lineRule="exact"/>
        <w:rPr>
          <w:rFonts w:hint="eastAsia" w:ascii="宋体" w:hAnsi="宋体"/>
          <w:sz w:val="24"/>
        </w:rPr>
      </w:pPr>
      <w:r>
        <w:rPr>
          <w:rFonts w:hint="eastAsia" w:ascii="宋体" w:hAnsi="宋体"/>
          <w:sz w:val="24"/>
        </w:rPr>
        <w:t>中马钦州产业园区启动区路灯箱变项目工程（中马南四街与丹兰路交叉路口）：</w:t>
      </w:r>
    </w:p>
    <w:p>
      <w:pPr>
        <w:tabs>
          <w:tab w:val="left" w:pos="1995"/>
          <w:tab w:val="left" w:pos="2205"/>
        </w:tabs>
        <w:spacing w:line="500" w:lineRule="exact"/>
        <w:ind w:firstLine="480"/>
        <w:rPr>
          <w:rFonts w:hint="eastAsia" w:ascii="宋体" w:hAnsi="宋体"/>
          <w:sz w:val="24"/>
        </w:rPr>
      </w:pPr>
      <w:r>
        <w:rPr>
          <w:rFonts w:hint="eastAsia" w:ascii="宋体" w:hAnsi="宋体"/>
          <w:sz w:val="24"/>
        </w:rPr>
        <w:t>本工程从新建电缆分接箱新出1回10k电缆沿中马南四街南侧敷设至2#箱变，电缆型号采用ZC-YJV22-8.7/15kV-3x70，路径长0.273km，电缆长0.3km。</w:t>
      </w:r>
    </w:p>
    <w:p>
      <w:pPr>
        <w:tabs>
          <w:tab w:val="left" w:pos="0"/>
          <w:tab w:val="left" w:pos="1995"/>
          <w:tab w:val="left" w:pos="2205"/>
        </w:tabs>
        <w:spacing w:line="500" w:lineRule="exact"/>
        <w:rPr>
          <w:rFonts w:hint="eastAsia" w:ascii="宋体" w:hAnsi="宋体" w:cs="宋体"/>
          <w:caps/>
          <w:sz w:val="24"/>
        </w:rPr>
      </w:pPr>
      <w:r>
        <w:rPr>
          <w:rFonts w:hint="eastAsia" w:ascii="宋体" w:hAnsi="宋体" w:cs="宋体"/>
          <w:sz w:val="24"/>
        </w:rPr>
        <w:t>具体内容参</w:t>
      </w:r>
      <w:r>
        <w:rPr>
          <w:rFonts w:hint="eastAsia" w:ascii="宋体" w:hAnsi="宋体" w:cs="宋体"/>
          <w:caps/>
          <w:sz w:val="24"/>
        </w:rPr>
        <w:t>见附件一《工程预算书》。</w:t>
      </w:r>
    </w:p>
    <w:p>
      <w:pPr>
        <w:spacing w:line="500" w:lineRule="exact"/>
        <w:ind w:left="360" w:hanging="361" w:hangingChars="150"/>
        <w:rPr>
          <w:rFonts w:hint="eastAsia" w:ascii="宋体" w:hAnsi="宋体"/>
          <w:color w:val="000000"/>
          <w:sz w:val="24"/>
        </w:rPr>
      </w:pPr>
      <w:r>
        <w:rPr>
          <w:rFonts w:hint="eastAsia" w:ascii="宋体" w:hAnsi="宋体"/>
          <w:b/>
          <w:bCs/>
          <w:color w:val="000000"/>
          <w:sz w:val="24"/>
        </w:rPr>
        <w:t>二、工程地点</w:t>
      </w:r>
      <w:r>
        <w:rPr>
          <w:rFonts w:hint="eastAsia" w:ascii="宋体" w:hAnsi="宋体"/>
          <w:color w:val="000000"/>
          <w:sz w:val="24"/>
        </w:rPr>
        <w:t>：中马钦州产业园区</w:t>
      </w:r>
      <w:r>
        <w:rPr>
          <w:rFonts w:hint="eastAsia" w:ascii="宋体" w:hAnsi="宋体"/>
          <w:color w:val="000000"/>
          <w:kern w:val="0"/>
          <w:sz w:val="24"/>
        </w:rPr>
        <w:t>。</w:t>
      </w:r>
      <w:r>
        <w:rPr>
          <w:rFonts w:ascii="宋体" w:hAnsi="宋体"/>
          <w:color w:val="000000"/>
          <w:kern w:val="0"/>
          <w:sz w:val="24"/>
        </w:rPr>
        <w:t> </w:t>
      </w:r>
    </w:p>
    <w:p>
      <w:pPr>
        <w:spacing w:line="500" w:lineRule="exact"/>
        <w:rPr>
          <w:rFonts w:hint="eastAsia" w:ascii="宋体" w:hAnsi="宋体"/>
          <w:color w:val="000000"/>
          <w:sz w:val="24"/>
        </w:rPr>
      </w:pPr>
      <w:r>
        <w:rPr>
          <w:rFonts w:hint="eastAsia" w:ascii="宋体" w:hAnsi="宋体"/>
          <w:b/>
          <w:bCs/>
          <w:color w:val="000000"/>
          <w:sz w:val="24"/>
        </w:rPr>
        <w:t>三、工作时间</w:t>
      </w:r>
      <w:r>
        <w:rPr>
          <w:rFonts w:hint="eastAsia" w:ascii="宋体" w:hAnsi="宋体"/>
          <w:color w:val="000000"/>
          <w:sz w:val="24"/>
        </w:rPr>
        <w:t>：合同签订后7个工作日内进场施工，工期</w:t>
      </w:r>
      <w:r>
        <w:rPr>
          <w:rFonts w:hint="eastAsia" w:ascii="宋体" w:hAnsi="宋体"/>
          <w:color w:val="000000"/>
          <w:sz w:val="24"/>
          <w:u w:val="single"/>
        </w:rPr>
        <w:t xml:space="preserve"> 60 个</w:t>
      </w:r>
      <w:r>
        <w:rPr>
          <w:rFonts w:hint="eastAsia" w:ascii="宋体" w:hAnsi="宋体"/>
          <w:color w:val="000000"/>
          <w:sz w:val="24"/>
        </w:rPr>
        <w:t>日历天。</w:t>
      </w:r>
    </w:p>
    <w:p>
      <w:pPr>
        <w:spacing w:line="500" w:lineRule="exact"/>
        <w:rPr>
          <w:rFonts w:hint="eastAsia" w:ascii="宋体" w:hAnsi="宋体"/>
          <w:color w:val="000000"/>
          <w:sz w:val="24"/>
        </w:rPr>
      </w:pPr>
      <w:r>
        <w:rPr>
          <w:rFonts w:hint="eastAsia" w:ascii="宋体" w:hAnsi="宋体"/>
          <w:color w:val="000000"/>
          <w:sz w:val="24"/>
        </w:rPr>
        <w:t>如需停电作业时间以供电局批复的停电时间为准。</w:t>
      </w:r>
    </w:p>
    <w:p>
      <w:pPr>
        <w:spacing w:line="500" w:lineRule="exact"/>
        <w:rPr>
          <w:rFonts w:hint="eastAsia" w:ascii="宋体" w:hAnsi="宋体"/>
          <w:color w:val="000000"/>
          <w:sz w:val="24"/>
        </w:rPr>
      </w:pPr>
      <w:r>
        <w:rPr>
          <w:rFonts w:hint="eastAsia" w:ascii="宋体" w:hAnsi="宋体"/>
          <w:b/>
          <w:bCs/>
          <w:color w:val="000000"/>
          <w:sz w:val="24"/>
        </w:rPr>
        <w:t>四、双方权利与义务</w:t>
      </w:r>
      <w:r>
        <w:rPr>
          <w:rFonts w:hint="eastAsia" w:ascii="宋体" w:hAnsi="宋体"/>
          <w:color w:val="000000"/>
          <w:sz w:val="24"/>
        </w:rPr>
        <w:t>：</w:t>
      </w:r>
    </w:p>
    <w:p>
      <w:pPr>
        <w:spacing w:line="500" w:lineRule="exact"/>
        <w:ind w:firstLine="570"/>
        <w:rPr>
          <w:rFonts w:hint="eastAsia" w:ascii="宋体" w:hAnsi="宋体"/>
          <w:color w:val="000000"/>
          <w:sz w:val="24"/>
        </w:rPr>
      </w:pPr>
      <w:r>
        <w:rPr>
          <w:rFonts w:hint="eastAsia" w:ascii="宋体" w:hAnsi="宋体"/>
          <w:color w:val="000000"/>
          <w:sz w:val="24"/>
        </w:rPr>
        <w:t>（一）甲方权利与义务：</w:t>
      </w:r>
    </w:p>
    <w:p>
      <w:pPr>
        <w:spacing w:line="500" w:lineRule="exact"/>
        <w:ind w:firstLine="570"/>
        <w:rPr>
          <w:rFonts w:hint="eastAsia" w:ascii="宋体" w:hAnsi="宋体"/>
          <w:color w:val="000000"/>
          <w:sz w:val="24"/>
        </w:rPr>
      </w:pPr>
      <w:r>
        <w:rPr>
          <w:rFonts w:hint="eastAsia" w:ascii="宋体" w:hAnsi="宋体"/>
          <w:color w:val="000000"/>
          <w:sz w:val="24"/>
        </w:rPr>
        <w:t>1. 负责办理线路走廊通道清碍工程及提供通道底下管、线埋设的相关准确资料，并符合线路安全运行要求，确保施工顺利进行；</w:t>
      </w:r>
    </w:p>
    <w:p>
      <w:pPr>
        <w:spacing w:line="500" w:lineRule="exact"/>
        <w:ind w:firstLine="570"/>
        <w:rPr>
          <w:rFonts w:hint="eastAsia" w:ascii="宋体" w:hAnsi="宋体"/>
          <w:color w:val="000000"/>
          <w:sz w:val="24"/>
        </w:rPr>
      </w:pPr>
      <w:r>
        <w:rPr>
          <w:rFonts w:hint="eastAsia" w:ascii="宋体" w:hAnsi="宋体"/>
          <w:color w:val="000000"/>
          <w:sz w:val="24"/>
        </w:rPr>
        <w:t>2. 如有需要应负责向规划管理单位报建线路走向；</w:t>
      </w:r>
    </w:p>
    <w:p>
      <w:pPr>
        <w:spacing w:line="500" w:lineRule="exact"/>
        <w:ind w:firstLine="570"/>
        <w:rPr>
          <w:rFonts w:hint="eastAsia" w:ascii="宋体" w:hAnsi="宋体"/>
          <w:color w:val="000000"/>
          <w:sz w:val="24"/>
        </w:rPr>
      </w:pPr>
      <w:r>
        <w:rPr>
          <w:rFonts w:hint="eastAsia" w:ascii="宋体" w:hAnsi="宋体"/>
          <w:color w:val="000000"/>
          <w:sz w:val="24"/>
        </w:rPr>
        <w:t>3. 如有需要负责解决线路走向涉及的场地征用、树木砍伐、青苗赔偿；</w:t>
      </w:r>
    </w:p>
    <w:p>
      <w:pPr>
        <w:spacing w:line="500" w:lineRule="exact"/>
        <w:ind w:firstLine="570"/>
        <w:rPr>
          <w:rFonts w:hint="eastAsia" w:ascii="宋体" w:hAnsi="宋体"/>
          <w:color w:val="000000"/>
          <w:sz w:val="24"/>
        </w:rPr>
      </w:pPr>
      <w:r>
        <w:rPr>
          <w:rFonts w:hint="eastAsia" w:ascii="宋体" w:hAnsi="宋体"/>
          <w:color w:val="000000"/>
          <w:sz w:val="24"/>
        </w:rPr>
        <w:t>4.协调乙方与厂房租赁使用单位工作面及相关配合、验收、交接工作；</w:t>
      </w:r>
    </w:p>
    <w:p>
      <w:pPr>
        <w:spacing w:line="500" w:lineRule="exact"/>
        <w:ind w:firstLine="570"/>
        <w:rPr>
          <w:rFonts w:hint="eastAsia" w:ascii="宋体" w:hAnsi="宋体"/>
          <w:color w:val="000000"/>
          <w:sz w:val="24"/>
        </w:rPr>
      </w:pPr>
      <w:r>
        <w:rPr>
          <w:rFonts w:hint="eastAsia" w:ascii="宋体" w:hAnsi="宋体"/>
          <w:color w:val="000000"/>
          <w:sz w:val="24"/>
        </w:rPr>
        <w:t>5．按合同约定支付工程款。</w:t>
      </w:r>
    </w:p>
    <w:p>
      <w:pPr>
        <w:spacing w:line="500" w:lineRule="exact"/>
        <w:ind w:firstLine="570"/>
        <w:rPr>
          <w:rFonts w:hint="eastAsia" w:ascii="宋体" w:hAnsi="宋体"/>
          <w:color w:val="000000"/>
          <w:sz w:val="24"/>
        </w:rPr>
      </w:pPr>
      <w:r>
        <w:rPr>
          <w:rFonts w:hint="eastAsia" w:ascii="宋体" w:hAnsi="宋体"/>
          <w:color w:val="000000"/>
          <w:sz w:val="24"/>
        </w:rPr>
        <w:t>（二）乙方权利与义务：</w:t>
      </w:r>
    </w:p>
    <w:p>
      <w:pPr>
        <w:spacing w:line="500" w:lineRule="exact"/>
        <w:ind w:firstLine="570"/>
        <w:rPr>
          <w:rFonts w:hint="eastAsia" w:ascii="宋体" w:hAnsi="宋体"/>
          <w:color w:val="000000"/>
          <w:sz w:val="24"/>
        </w:rPr>
      </w:pPr>
      <w:r>
        <w:rPr>
          <w:rFonts w:hint="eastAsia" w:ascii="宋体" w:hAnsi="宋体"/>
          <w:color w:val="000000"/>
          <w:sz w:val="24"/>
        </w:rPr>
        <w:t>1．乙方承诺在本合同履行期间持有有效的企业资质文件及承接本合同约定的工程项目所应具备的相应资质，否则甲方有权解除本合同，且乙方需赔偿因此给甲方造成的一切损失。</w:t>
      </w:r>
    </w:p>
    <w:p>
      <w:pPr>
        <w:spacing w:line="500" w:lineRule="exact"/>
        <w:ind w:firstLine="570"/>
        <w:rPr>
          <w:rFonts w:hint="eastAsia" w:ascii="宋体" w:hAnsi="宋体"/>
          <w:color w:val="000000"/>
          <w:sz w:val="24"/>
        </w:rPr>
      </w:pPr>
      <w:r>
        <w:rPr>
          <w:rFonts w:hint="eastAsia" w:ascii="宋体" w:hAnsi="宋体"/>
          <w:color w:val="000000"/>
          <w:sz w:val="24"/>
        </w:rPr>
        <w:t>2.进场工作必须遵守有关安全规定，负责办理停电手续。</w:t>
      </w:r>
    </w:p>
    <w:p>
      <w:pPr>
        <w:spacing w:line="500" w:lineRule="exact"/>
        <w:ind w:firstLine="570"/>
        <w:rPr>
          <w:rFonts w:hint="eastAsia" w:ascii="宋体" w:hAnsi="宋体"/>
          <w:color w:val="000000"/>
          <w:sz w:val="24"/>
        </w:rPr>
      </w:pPr>
      <w:r>
        <w:rPr>
          <w:rFonts w:hint="eastAsia" w:ascii="宋体" w:hAnsi="宋体"/>
          <w:color w:val="000000"/>
          <w:sz w:val="24"/>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spacing w:line="500" w:lineRule="exact"/>
        <w:ind w:firstLine="570"/>
        <w:rPr>
          <w:rFonts w:hint="eastAsia" w:ascii="宋体" w:hAnsi="宋体"/>
          <w:color w:val="000000"/>
          <w:sz w:val="24"/>
        </w:rPr>
      </w:pPr>
      <w:r>
        <w:rPr>
          <w:rFonts w:hint="eastAsia" w:ascii="宋体" w:hAnsi="宋体"/>
          <w:color w:val="000000"/>
          <w:sz w:val="24"/>
        </w:rPr>
        <w:t>4．组织相关技术人员安装甲方指定设备，并保障重新安装设备的完好可用，且做好设备安装完成后联合调度验收送电工作。</w:t>
      </w:r>
    </w:p>
    <w:p>
      <w:pPr>
        <w:spacing w:line="500" w:lineRule="exact"/>
        <w:ind w:firstLine="570"/>
        <w:rPr>
          <w:rFonts w:hint="eastAsia" w:ascii="宋体" w:hAnsi="宋体"/>
          <w:color w:val="000000"/>
          <w:sz w:val="24"/>
        </w:rPr>
      </w:pPr>
      <w:r>
        <w:rPr>
          <w:rFonts w:hint="eastAsia" w:ascii="宋体" w:hAnsi="宋体"/>
          <w:color w:val="000000"/>
          <w:sz w:val="24"/>
        </w:rPr>
        <w:t>5．按甲方工程进度要求，及时进行本合同工作内容施工，且工程质量需符合本合同约定及国家有关规定标准。</w:t>
      </w:r>
    </w:p>
    <w:p>
      <w:pPr>
        <w:spacing w:line="500" w:lineRule="exact"/>
        <w:ind w:firstLine="570"/>
        <w:rPr>
          <w:rFonts w:hint="eastAsia" w:ascii="宋体" w:hAnsi="宋体"/>
          <w:color w:val="000000"/>
          <w:sz w:val="24"/>
        </w:rPr>
      </w:pPr>
      <w:r>
        <w:rPr>
          <w:rFonts w:hint="eastAsia" w:ascii="宋体" w:hAnsi="宋体"/>
          <w:color w:val="000000"/>
          <w:sz w:val="24"/>
        </w:rPr>
        <w:t>6. 属工程安装及乙方提供的设备质量问题均由乙方负责, 质量保修期按国家有关规定执行，质量保修期为</w:t>
      </w:r>
      <w:r>
        <w:rPr>
          <w:rFonts w:hint="eastAsia" w:ascii="宋体" w:hAnsi="宋体"/>
          <w:color w:val="000000"/>
          <w:sz w:val="24"/>
          <w:u w:val="single"/>
        </w:rPr>
        <w:t xml:space="preserve"> 壹 </w:t>
      </w:r>
      <w:r>
        <w:rPr>
          <w:rFonts w:hint="eastAsia" w:ascii="宋体" w:hAnsi="宋体"/>
          <w:color w:val="000000"/>
          <w:sz w:val="24"/>
        </w:rPr>
        <w:t>年，自工程竣工合格之日起算。质量保修期间内，乙方应当在甲方告知其发生质量问题的12小时内，到工程现场向甲方提供维修服务。如乙方未及时进行维修，甲方有权委托第三方进行维修，由此产生的一切费用包括但不限于维修费、差旅费、材料费、人工费等由乙方承担。如因乙方维修不及时导致甲方或第三方遭遇其他损失的，该损失由乙方承担。</w:t>
      </w:r>
    </w:p>
    <w:p>
      <w:pPr>
        <w:spacing w:line="500" w:lineRule="exact"/>
        <w:ind w:firstLine="570"/>
        <w:rPr>
          <w:rFonts w:hint="eastAsia" w:ascii="宋体" w:hAnsi="宋体"/>
          <w:color w:val="000000"/>
          <w:sz w:val="24"/>
        </w:rPr>
      </w:pPr>
      <w:r>
        <w:rPr>
          <w:rFonts w:hint="eastAsia" w:ascii="宋体" w:hAnsi="宋体"/>
          <w:color w:val="000000"/>
          <w:sz w:val="24"/>
        </w:rPr>
        <w:t>7.乙方所提供的材料须符合国家标准。</w:t>
      </w:r>
    </w:p>
    <w:p>
      <w:pPr>
        <w:spacing w:line="500" w:lineRule="exact"/>
        <w:ind w:firstLine="570"/>
        <w:rPr>
          <w:rFonts w:hint="eastAsia" w:ascii="宋体" w:hAnsi="宋体"/>
          <w:color w:val="000000"/>
          <w:sz w:val="24"/>
        </w:rPr>
      </w:pPr>
      <w:r>
        <w:rPr>
          <w:rFonts w:hint="eastAsia" w:ascii="宋体" w:hAnsi="宋体"/>
          <w:color w:val="000000"/>
          <w:sz w:val="24"/>
        </w:rPr>
        <w:t>8.配合甲方及相关电力部门进行工程的竣工验收工作 。</w:t>
      </w:r>
    </w:p>
    <w:p>
      <w:pPr>
        <w:spacing w:line="500" w:lineRule="exact"/>
        <w:rPr>
          <w:rFonts w:hint="eastAsia" w:ascii="宋体" w:hAnsi="宋体"/>
          <w:color w:val="000000"/>
          <w:sz w:val="24"/>
        </w:rPr>
      </w:pPr>
      <w:r>
        <w:rPr>
          <w:rFonts w:hint="eastAsia" w:ascii="宋体" w:hAnsi="宋体"/>
          <w:b/>
          <w:bCs/>
          <w:color w:val="000000"/>
          <w:sz w:val="24"/>
        </w:rPr>
        <w:t>五、费用及结算方式</w:t>
      </w:r>
      <w:r>
        <w:rPr>
          <w:rFonts w:hint="eastAsia" w:ascii="宋体" w:hAnsi="宋体"/>
          <w:color w:val="000000"/>
          <w:sz w:val="24"/>
        </w:rPr>
        <w:t>：</w:t>
      </w:r>
    </w:p>
    <w:p>
      <w:pPr>
        <w:adjustRightInd w:val="0"/>
        <w:snapToGrid w:val="0"/>
        <w:spacing w:line="500" w:lineRule="exact"/>
        <w:ind w:firstLine="480" w:firstLineChars="200"/>
        <w:rPr>
          <w:rFonts w:hint="eastAsia" w:ascii="宋体" w:hAnsi="宋体"/>
          <w:sz w:val="24"/>
        </w:rPr>
      </w:pPr>
      <w:r>
        <w:rPr>
          <w:rFonts w:hint="eastAsia" w:ascii="宋体" w:hAnsi="宋体"/>
          <w:color w:val="000000"/>
          <w:sz w:val="24"/>
        </w:rPr>
        <w:t>（一）合同</w:t>
      </w:r>
      <w:r>
        <w:rPr>
          <w:rFonts w:hint="eastAsia" w:ascii="宋体" w:hAnsi="宋体"/>
          <w:sz w:val="24"/>
        </w:rPr>
        <w:t>价款：本工程合同价款为固定总价（最终合同价款以审计部门出具的项目结算报告为准），总额人民币大写为：</w:t>
      </w:r>
      <w:r>
        <w:rPr>
          <w:rFonts w:hint="eastAsia" w:ascii="宋体" w:hAnsi="宋体"/>
          <w:sz w:val="24"/>
          <w:u w:val="single"/>
        </w:rPr>
        <w:t>******元（小写￥</w:t>
      </w:r>
      <w:r>
        <w:rPr>
          <w:rFonts w:hint="eastAsia" w:ascii="宋体" w:hAnsi="宋体"/>
          <w:bCs/>
          <w:sz w:val="24"/>
          <w:u w:val="single"/>
        </w:rPr>
        <w:t xml:space="preserve">      </w:t>
      </w:r>
      <w:r>
        <w:rPr>
          <w:rFonts w:hint="eastAsia" w:ascii="宋体" w:hAnsi="宋体"/>
          <w:sz w:val="24"/>
          <w:u w:val="single"/>
        </w:rPr>
        <w:t>元）</w:t>
      </w:r>
      <w:r>
        <w:rPr>
          <w:rFonts w:hint="eastAsia" w:ascii="宋体" w:hAnsi="宋体"/>
          <w:sz w:val="24"/>
        </w:rPr>
        <w:t>，该价款已包括乙方完成本工程所需的全部费用，包括但不限于人工费、材料费、机械费、管理费、利润、规费及税金。</w:t>
      </w:r>
    </w:p>
    <w:p>
      <w:pPr>
        <w:adjustRightInd w:val="0"/>
        <w:snapToGrid w:val="0"/>
        <w:spacing w:line="500" w:lineRule="exact"/>
        <w:ind w:firstLine="480" w:firstLineChars="200"/>
        <w:rPr>
          <w:rFonts w:hint="eastAsia" w:ascii="宋体" w:hAnsi="宋体"/>
          <w:sz w:val="24"/>
        </w:rPr>
      </w:pPr>
      <w:r>
        <w:rPr>
          <w:rFonts w:hint="eastAsia" w:ascii="宋体" w:hAnsi="宋体"/>
          <w:sz w:val="24"/>
        </w:rPr>
        <w:t>(二）支付方式：银行转帐。乙方申请付款前须向甲方开具等额税率为10%增值税专用发票。</w:t>
      </w:r>
    </w:p>
    <w:p>
      <w:pPr>
        <w:spacing w:line="500" w:lineRule="exact"/>
        <w:ind w:firstLine="480" w:firstLineChars="200"/>
        <w:rPr>
          <w:rFonts w:hint="eastAsia" w:ascii="宋体" w:hAnsi="宋体"/>
          <w:sz w:val="24"/>
        </w:rPr>
      </w:pPr>
      <w:r>
        <w:rPr>
          <w:rFonts w:hint="eastAsia" w:ascii="宋体" w:hAnsi="宋体"/>
          <w:sz w:val="24"/>
        </w:rPr>
        <w:t>（三）支付期限：</w:t>
      </w:r>
    </w:p>
    <w:p>
      <w:pPr>
        <w:spacing w:line="500" w:lineRule="exact"/>
        <w:ind w:firstLine="480" w:firstLineChars="200"/>
        <w:rPr>
          <w:rFonts w:hint="eastAsia" w:ascii="宋体" w:hAnsi="宋体"/>
          <w:sz w:val="24"/>
          <w:u w:val="single"/>
        </w:rPr>
      </w:pPr>
      <w:r>
        <w:rPr>
          <w:rFonts w:hint="eastAsia" w:ascii="宋体" w:hAnsi="宋体"/>
          <w:sz w:val="24"/>
        </w:rPr>
        <w:t>1.本合同签订生效且甲方收到乙方开具的相应数额增值税专用发票（税率10%）后30天内，甲方向乙方支付本合同价款的30%即（人民币大写）</w:t>
      </w:r>
      <w:r>
        <w:rPr>
          <w:rFonts w:hint="eastAsia" w:ascii="宋体" w:hAnsi="宋体"/>
          <w:sz w:val="24"/>
          <w:u w:val="single"/>
        </w:rPr>
        <w:t xml:space="preserve">    （小写：￥   元）。</w:t>
      </w:r>
    </w:p>
    <w:p>
      <w:pPr>
        <w:spacing w:line="500" w:lineRule="exact"/>
        <w:ind w:firstLine="480" w:firstLineChars="200"/>
        <w:rPr>
          <w:rFonts w:hint="eastAsia" w:ascii="宋体" w:hAnsi="宋体"/>
          <w:sz w:val="24"/>
          <w:u w:val="single"/>
        </w:rPr>
      </w:pPr>
      <w:r>
        <w:rPr>
          <w:rFonts w:hint="eastAsia" w:ascii="宋体" w:hAnsi="宋体"/>
          <w:sz w:val="24"/>
        </w:rPr>
        <w:t>2.乙方完成本合同约定的所有工作并通电调试完成验收合格后，且甲方在收到乙方开具的等额增值税专用发票</w:t>
      </w:r>
      <w:r>
        <w:rPr>
          <w:rFonts w:hint="eastAsia" w:ascii="宋体" w:hAnsi="宋体"/>
          <w:sz w:val="24"/>
          <w:highlight w:val="none"/>
        </w:rPr>
        <w:t>（税率10 %）</w:t>
      </w:r>
      <w:r>
        <w:rPr>
          <w:rFonts w:hint="eastAsia" w:ascii="宋体" w:hAnsi="宋体"/>
          <w:sz w:val="24"/>
        </w:rPr>
        <w:t>和请款函之日起30日内，甲方向乙方支付本合同价款的55%即（人民币大写）</w:t>
      </w:r>
      <w:r>
        <w:rPr>
          <w:rFonts w:hint="eastAsia" w:ascii="宋体" w:hAnsi="宋体"/>
          <w:sz w:val="24"/>
          <w:u w:val="single"/>
        </w:rPr>
        <w:t xml:space="preserve">    （小写：￥   元）。</w:t>
      </w:r>
    </w:p>
    <w:p>
      <w:pPr>
        <w:spacing w:line="500" w:lineRule="exact"/>
        <w:ind w:firstLine="480" w:firstLineChars="200"/>
        <w:rPr>
          <w:rFonts w:hint="eastAsia" w:ascii="宋体" w:hAnsi="宋体"/>
          <w:sz w:val="24"/>
          <w:u w:val="single"/>
        </w:rPr>
      </w:pPr>
      <w:r>
        <w:rPr>
          <w:rFonts w:hint="eastAsia" w:ascii="宋体" w:hAnsi="宋体"/>
          <w:sz w:val="24"/>
          <w:u w:val="single"/>
        </w:rPr>
        <w:t>3.审计部门出具项目审计结算报告后，合同价款按审计结算报告结算金额进行结算，甲方在扣除结算金额的</w:t>
      </w:r>
      <w:r>
        <w:rPr>
          <w:rFonts w:hint="eastAsia" w:ascii="宋体" w:hAnsi="宋体"/>
          <w:sz w:val="24"/>
        </w:rPr>
        <w:t>5%作为保修金外，剩余未付部分结算金额，甲方在收到乙方开具的等额增值税专用发票</w:t>
      </w:r>
      <w:r>
        <w:rPr>
          <w:rFonts w:hint="eastAsia" w:ascii="宋体" w:hAnsi="宋体"/>
          <w:sz w:val="24"/>
          <w:highlight w:val="none"/>
        </w:rPr>
        <w:t>（税率10 %）</w:t>
      </w:r>
      <w:r>
        <w:rPr>
          <w:rFonts w:hint="eastAsia" w:ascii="宋体" w:hAnsi="宋体"/>
          <w:sz w:val="24"/>
        </w:rPr>
        <w:t>和请款函之日起30日内结清。</w:t>
      </w:r>
    </w:p>
    <w:p>
      <w:pPr>
        <w:spacing w:line="500" w:lineRule="exact"/>
        <w:ind w:firstLine="480" w:firstLineChars="200"/>
        <w:rPr>
          <w:rFonts w:hint="eastAsia" w:ascii="宋体" w:hAnsi="宋体"/>
          <w:b/>
          <w:bCs/>
          <w:sz w:val="24"/>
        </w:rPr>
      </w:pPr>
      <w:r>
        <w:rPr>
          <w:rFonts w:hint="eastAsia" w:ascii="宋体" w:hAnsi="宋体"/>
          <w:sz w:val="24"/>
        </w:rPr>
        <w:t>4.保修金可以抵扣保修期间内因</w:t>
      </w:r>
      <w:r>
        <w:rPr>
          <w:rFonts w:hint="eastAsia" w:ascii="宋体" w:hAnsi="宋体"/>
          <w:color w:val="000000"/>
          <w:sz w:val="24"/>
        </w:rPr>
        <w:t>工程安装及乙方提供的</w:t>
      </w:r>
      <w:r>
        <w:rPr>
          <w:rFonts w:hint="eastAsia" w:ascii="宋体" w:hAnsi="宋体"/>
          <w:sz w:val="24"/>
        </w:rPr>
        <w:t>设备维修所产生的一切费用，保修期满后扣除已使用保修金后一次性</w:t>
      </w:r>
      <w:r>
        <w:rPr>
          <w:rFonts w:ascii="宋体" w:hAnsi="宋体"/>
          <w:sz w:val="24"/>
        </w:rPr>
        <w:t>无息</w:t>
      </w:r>
      <w:r>
        <w:rPr>
          <w:rFonts w:hint="eastAsia" w:ascii="宋体" w:hAnsi="宋体"/>
          <w:sz w:val="24"/>
        </w:rPr>
        <w:t>向乙方支付余款（如不发生维修问题问题则不抵扣）。保修金不足以抵扣保修期间内的维修费的，自抵扣完毕之日起，甲方不再负有向乙方付款的义务，但乙方的维修义务并不因此消灭，乙方仍应承担维修义务。</w:t>
      </w:r>
    </w:p>
    <w:p>
      <w:pPr>
        <w:adjustRightInd w:val="0"/>
        <w:snapToGrid w:val="0"/>
        <w:spacing w:line="500" w:lineRule="exact"/>
        <w:rPr>
          <w:rFonts w:hint="eastAsia" w:ascii="宋体" w:hAnsi="宋体"/>
          <w:spacing w:val="20"/>
          <w:sz w:val="24"/>
        </w:rPr>
      </w:pPr>
      <w:r>
        <w:rPr>
          <w:rFonts w:hint="eastAsia" w:ascii="宋体" w:hAnsi="宋体"/>
          <w:b/>
          <w:bCs/>
          <w:sz w:val="24"/>
        </w:rPr>
        <w:t>六、开票方式：</w:t>
      </w:r>
    </w:p>
    <w:p>
      <w:pPr>
        <w:adjustRightInd w:val="0"/>
        <w:snapToGrid w:val="0"/>
        <w:spacing w:line="500" w:lineRule="exact"/>
        <w:ind w:firstLine="560" w:firstLineChars="200"/>
        <w:rPr>
          <w:rFonts w:hint="eastAsia" w:ascii="宋体" w:hAnsi="宋体" w:cs="宋体"/>
          <w:spacing w:val="20"/>
          <w:sz w:val="24"/>
        </w:rPr>
      </w:pPr>
      <w:r>
        <w:rPr>
          <w:rFonts w:hint="eastAsia" w:ascii="宋体" w:hAnsi="宋体" w:cs="宋体"/>
          <w:spacing w:val="20"/>
          <w:sz w:val="24"/>
        </w:rPr>
        <w:t>1.开票类型：增值税专用发票</w:t>
      </w:r>
    </w:p>
    <w:p>
      <w:pPr>
        <w:adjustRightInd w:val="0"/>
        <w:snapToGrid w:val="0"/>
        <w:spacing w:line="500" w:lineRule="exact"/>
        <w:ind w:firstLine="560" w:firstLineChars="200"/>
        <w:rPr>
          <w:rFonts w:hint="eastAsia" w:ascii="宋体" w:hAnsi="宋体" w:cs="宋体"/>
          <w:color w:val="FF0000"/>
          <w:spacing w:val="20"/>
          <w:sz w:val="24"/>
        </w:rPr>
      </w:pPr>
      <w:r>
        <w:rPr>
          <w:rFonts w:hint="eastAsia" w:ascii="宋体" w:hAnsi="宋体" w:cs="宋体"/>
          <w:spacing w:val="20"/>
          <w:sz w:val="24"/>
        </w:rPr>
        <w:t>2.甲方增值税开票信息：</w:t>
      </w:r>
    </w:p>
    <w:p>
      <w:pPr>
        <w:spacing w:line="500" w:lineRule="exact"/>
        <w:ind w:firstLine="480" w:firstLineChars="200"/>
        <w:rPr>
          <w:rFonts w:hint="eastAsia" w:ascii="宋体" w:hAnsi="宋体" w:cs="宋体"/>
          <w:sz w:val="24"/>
        </w:rPr>
      </w:pPr>
      <w:r>
        <w:rPr>
          <w:rFonts w:hint="eastAsia" w:ascii="宋体" w:hAnsi="宋体" w:cs="宋体"/>
          <w:sz w:val="24"/>
        </w:rPr>
        <w:t>单位名称：广西中马钦州产业园区开发有限公司</w:t>
      </w:r>
    </w:p>
    <w:p>
      <w:pPr>
        <w:spacing w:line="500" w:lineRule="exact"/>
        <w:ind w:firstLine="480" w:firstLineChars="200"/>
        <w:rPr>
          <w:rFonts w:hint="eastAsia" w:ascii="宋体" w:hAnsi="宋体" w:cs="宋体"/>
          <w:sz w:val="24"/>
        </w:rPr>
      </w:pPr>
      <w:r>
        <w:rPr>
          <w:rFonts w:hint="eastAsia" w:ascii="宋体" w:hAnsi="宋体" w:cs="宋体"/>
          <w:sz w:val="24"/>
        </w:rPr>
        <w:t>纳税人识别号：91450700083610268U</w:t>
      </w:r>
    </w:p>
    <w:p>
      <w:pPr>
        <w:spacing w:line="500" w:lineRule="exact"/>
        <w:ind w:firstLine="480" w:firstLineChars="200"/>
        <w:rPr>
          <w:rFonts w:hint="eastAsia" w:ascii="宋体" w:hAnsi="宋体" w:cs="宋体"/>
          <w:sz w:val="24"/>
        </w:rPr>
      </w:pPr>
      <w:r>
        <w:rPr>
          <w:rFonts w:hint="eastAsia" w:ascii="宋体" w:hAnsi="宋体" w:cs="宋体"/>
          <w:sz w:val="24"/>
        </w:rPr>
        <w:t>单位地址：广西壮族自治区钦州市中马钦州产业园区中马大街1号B101房</w:t>
      </w:r>
    </w:p>
    <w:p>
      <w:pPr>
        <w:spacing w:line="500" w:lineRule="exact"/>
        <w:ind w:firstLine="480" w:firstLineChars="200"/>
        <w:rPr>
          <w:rFonts w:hint="eastAsia" w:ascii="宋体" w:hAnsi="宋体" w:cs="宋体"/>
          <w:sz w:val="24"/>
        </w:rPr>
      </w:pPr>
      <w:r>
        <w:rPr>
          <w:rFonts w:hint="eastAsia" w:ascii="宋体" w:hAnsi="宋体" w:cs="宋体"/>
          <w:sz w:val="24"/>
        </w:rPr>
        <w:t>单位电话：0777-5988988</w:t>
      </w:r>
    </w:p>
    <w:p>
      <w:pPr>
        <w:spacing w:line="500" w:lineRule="exact"/>
        <w:ind w:firstLine="480" w:firstLineChars="200"/>
        <w:rPr>
          <w:rFonts w:hint="eastAsia" w:ascii="宋体" w:hAnsi="宋体" w:cs="宋体"/>
          <w:sz w:val="24"/>
        </w:rPr>
      </w:pPr>
      <w:r>
        <w:rPr>
          <w:rFonts w:hint="eastAsia" w:ascii="宋体" w:hAnsi="宋体" w:cs="宋体"/>
          <w:sz w:val="24"/>
        </w:rPr>
        <w:t>开户行：中国建设银行股份有限公司钦州港区支行</w:t>
      </w:r>
    </w:p>
    <w:p>
      <w:pPr>
        <w:spacing w:line="500" w:lineRule="exact"/>
        <w:ind w:firstLine="480" w:firstLineChars="200"/>
        <w:rPr>
          <w:rFonts w:hint="eastAsia" w:ascii="宋体" w:hAnsi="宋体"/>
          <w:color w:val="FF0000"/>
          <w:spacing w:val="20"/>
          <w:sz w:val="24"/>
        </w:rPr>
      </w:pPr>
      <w:r>
        <w:rPr>
          <w:rFonts w:hint="eastAsia" w:ascii="宋体" w:hAnsi="宋体" w:cs="宋体"/>
          <w:sz w:val="24"/>
        </w:rPr>
        <w:t>账号：45001659851059118168</w:t>
      </w:r>
    </w:p>
    <w:p>
      <w:pPr>
        <w:spacing w:line="500" w:lineRule="exact"/>
        <w:rPr>
          <w:rFonts w:hint="eastAsia" w:ascii="宋体" w:hAnsi="宋体"/>
          <w:color w:val="000000"/>
          <w:sz w:val="24"/>
        </w:rPr>
      </w:pPr>
      <w:r>
        <w:rPr>
          <w:rFonts w:hint="eastAsia" w:ascii="宋体" w:hAnsi="宋体"/>
          <w:b/>
          <w:bCs/>
          <w:color w:val="000000"/>
          <w:sz w:val="24"/>
        </w:rPr>
        <w:t>七、</w:t>
      </w:r>
      <w:r>
        <w:rPr>
          <w:rFonts w:hint="eastAsia" w:ascii="宋体" w:hAnsi="宋体" w:cs="宋体"/>
          <w:b/>
          <w:caps/>
          <w:sz w:val="24"/>
        </w:rPr>
        <w:t>工程质量要求及</w:t>
      </w:r>
      <w:r>
        <w:rPr>
          <w:rFonts w:hint="eastAsia" w:ascii="宋体" w:hAnsi="宋体"/>
          <w:b/>
          <w:bCs/>
          <w:color w:val="000000"/>
          <w:sz w:val="24"/>
        </w:rPr>
        <w:t>验收标准</w:t>
      </w:r>
      <w:r>
        <w:rPr>
          <w:rFonts w:hint="eastAsia" w:ascii="宋体" w:hAnsi="宋体"/>
          <w:color w:val="000000"/>
          <w:sz w:val="24"/>
        </w:rPr>
        <w:t>：</w:t>
      </w:r>
    </w:p>
    <w:p>
      <w:pPr>
        <w:tabs>
          <w:tab w:val="left" w:pos="0"/>
          <w:tab w:val="left" w:pos="1995"/>
          <w:tab w:val="left" w:pos="2205"/>
        </w:tabs>
        <w:spacing w:line="500" w:lineRule="exact"/>
        <w:ind w:firstLine="480" w:firstLineChars="200"/>
        <w:rPr>
          <w:rFonts w:hint="eastAsia" w:ascii="宋体" w:hAnsi="宋体" w:cs="宋体"/>
          <w:caps/>
          <w:sz w:val="24"/>
        </w:rPr>
      </w:pPr>
      <w:r>
        <w:rPr>
          <w:rFonts w:hint="eastAsia" w:ascii="宋体" w:hAnsi="宋体"/>
          <w:color w:val="000000"/>
          <w:sz w:val="24"/>
        </w:rPr>
        <w:t>1、按国家现行电力行业有关规程规定进行验收，工程质量标准为合格。</w:t>
      </w:r>
      <w:r>
        <w:rPr>
          <w:rFonts w:hint="eastAsia" w:ascii="宋体" w:hAnsi="宋体" w:cs="宋体"/>
          <w:caps/>
          <w:sz w:val="24"/>
        </w:rPr>
        <w:t>质量评定以国家、行业或地方的质量检验评定标准为依据。</w:t>
      </w:r>
    </w:p>
    <w:p>
      <w:pPr>
        <w:tabs>
          <w:tab w:val="left" w:pos="0"/>
          <w:tab w:val="left" w:pos="1995"/>
          <w:tab w:val="left" w:pos="2205"/>
        </w:tabs>
        <w:spacing w:line="500" w:lineRule="exact"/>
        <w:ind w:firstLine="480" w:firstLineChars="200"/>
        <w:rPr>
          <w:rFonts w:hint="eastAsia" w:ascii="宋体" w:hAnsi="宋体" w:cs="宋体"/>
          <w:caps/>
          <w:sz w:val="24"/>
        </w:rPr>
      </w:pPr>
      <w:r>
        <w:rPr>
          <w:rFonts w:hint="eastAsia" w:ascii="宋体" w:hAnsi="宋体" w:cs="宋体"/>
          <w:caps/>
          <w:sz w:val="24"/>
        </w:rPr>
        <w:t>2、工程完工后，由乙方向甲方提出验收申请，双方组织有关人员进行验收。乙方提供申请后后    日内甲方仍不组织验收，则视同甲方已经认可工程质量合格验收。如甲方对工程验收不合格，乙方应无偿进行整改，直至通过验收。</w:t>
      </w:r>
    </w:p>
    <w:p>
      <w:pPr>
        <w:tabs>
          <w:tab w:val="left" w:pos="0"/>
          <w:tab w:val="left" w:pos="1995"/>
          <w:tab w:val="left" w:pos="2205"/>
        </w:tabs>
        <w:spacing w:line="500" w:lineRule="exact"/>
        <w:ind w:firstLine="480" w:firstLineChars="200"/>
        <w:rPr>
          <w:rFonts w:hint="eastAsia" w:ascii="宋体" w:hAnsi="宋体"/>
          <w:color w:val="000000"/>
          <w:sz w:val="24"/>
        </w:rPr>
      </w:pPr>
      <w:r>
        <w:rPr>
          <w:rFonts w:hint="eastAsia" w:ascii="宋体" w:hAnsi="宋体" w:cs="宋体"/>
          <w:caps/>
          <w:sz w:val="24"/>
        </w:rPr>
        <w:t>3、双方如对工程质量由争议，由双方同意的工程质量检测机构鉴定，检测等费用及因此造成的损失，由责任方承担。双方均有责任，由双方根据其责任分别承担。</w:t>
      </w:r>
    </w:p>
    <w:p>
      <w:pPr>
        <w:tabs>
          <w:tab w:val="left" w:pos="0"/>
          <w:tab w:val="left" w:pos="1995"/>
          <w:tab w:val="left" w:pos="2205"/>
        </w:tabs>
        <w:spacing w:line="500" w:lineRule="exact"/>
        <w:rPr>
          <w:rFonts w:hint="eastAsia" w:ascii="宋体" w:hAnsi="宋体" w:cs="宋体"/>
          <w:b/>
          <w:caps/>
          <w:sz w:val="24"/>
        </w:rPr>
      </w:pPr>
      <w:r>
        <w:rPr>
          <w:rFonts w:hint="eastAsia" w:ascii="宋体" w:hAnsi="宋体" w:cs="宋体"/>
          <w:b/>
          <w:caps/>
          <w:sz w:val="24"/>
        </w:rPr>
        <w:t>八、材料设备要求：</w:t>
      </w:r>
    </w:p>
    <w:p>
      <w:pPr>
        <w:tabs>
          <w:tab w:val="left" w:pos="0"/>
          <w:tab w:val="left" w:pos="1995"/>
          <w:tab w:val="left" w:pos="2205"/>
        </w:tabs>
        <w:spacing w:line="500" w:lineRule="exact"/>
        <w:ind w:firstLine="480" w:firstLineChars="200"/>
        <w:rPr>
          <w:rFonts w:hint="eastAsia" w:ascii="宋体" w:hAnsi="宋体" w:cs="宋体"/>
          <w:caps/>
          <w:sz w:val="24"/>
        </w:rPr>
      </w:pPr>
      <w:r>
        <w:rPr>
          <w:rFonts w:hint="eastAsia" w:ascii="宋体" w:hAnsi="宋体" w:cs="宋体"/>
          <w:caps/>
          <w:sz w:val="24"/>
        </w:rPr>
        <w:t>1.本工程所需材料设备由乙方负责采购，乙方应按本合同约定的规格、型号等标准采购材料设备（详见附件二《乙供材料设备清单》），并提供产品合格证明，对材料设备质量负责。</w:t>
      </w:r>
    </w:p>
    <w:p>
      <w:pPr>
        <w:tabs>
          <w:tab w:val="left" w:pos="0"/>
          <w:tab w:val="left" w:pos="1995"/>
          <w:tab w:val="left" w:pos="2205"/>
        </w:tabs>
        <w:spacing w:line="500" w:lineRule="exact"/>
        <w:ind w:firstLine="480" w:firstLineChars="200"/>
        <w:rPr>
          <w:rFonts w:hint="eastAsia" w:ascii="宋体" w:hAnsi="宋体" w:cs="宋体"/>
          <w:caps/>
          <w:sz w:val="24"/>
        </w:rPr>
      </w:pPr>
      <w:r>
        <w:rPr>
          <w:rFonts w:hint="eastAsia" w:ascii="宋体" w:hAnsi="宋体" w:cs="宋体"/>
          <w:caps/>
          <w:sz w:val="24"/>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tabs>
          <w:tab w:val="left" w:pos="0"/>
          <w:tab w:val="left" w:pos="1995"/>
          <w:tab w:val="left" w:pos="2205"/>
        </w:tabs>
        <w:spacing w:line="500" w:lineRule="exact"/>
        <w:ind w:firstLine="480" w:firstLineChars="200"/>
        <w:rPr>
          <w:rFonts w:hint="eastAsia" w:ascii="宋体" w:hAnsi="宋体" w:cs="宋体"/>
          <w:caps/>
          <w:sz w:val="24"/>
        </w:rPr>
      </w:pPr>
      <w:r>
        <w:rPr>
          <w:rFonts w:hint="eastAsia" w:ascii="宋体" w:hAnsi="宋体" w:cs="宋体"/>
          <w:caps/>
          <w:sz w:val="24"/>
        </w:rPr>
        <w:t>3.甲方发现乙方采购并使用不符合本合同约定标准的材料设备时，乙方应按照甲方要求负责修复、拆除或重新采购，并承担由此产生的费用，由此延误的工期不予顺延。</w:t>
      </w:r>
    </w:p>
    <w:p>
      <w:pPr>
        <w:tabs>
          <w:tab w:val="left" w:pos="0"/>
          <w:tab w:val="left" w:pos="1995"/>
          <w:tab w:val="left" w:pos="2205"/>
        </w:tabs>
        <w:spacing w:line="500" w:lineRule="exact"/>
        <w:ind w:firstLine="480" w:firstLineChars="200"/>
        <w:rPr>
          <w:rFonts w:hint="eastAsia" w:ascii="宋体" w:hAnsi="宋体" w:cs="宋体"/>
          <w:caps/>
          <w:sz w:val="24"/>
        </w:rPr>
      </w:pPr>
      <w:r>
        <w:rPr>
          <w:rFonts w:hint="eastAsia" w:ascii="宋体" w:hAnsi="宋体" w:cs="宋体"/>
          <w:caps/>
          <w:sz w:val="24"/>
        </w:rPr>
        <w:t>4.送抵或至于工程现场及周转场地的工程材料设备有乙方负责保管，并对其损坏、丢失等承担责任。</w:t>
      </w:r>
    </w:p>
    <w:p>
      <w:pPr>
        <w:spacing w:line="500" w:lineRule="exact"/>
        <w:rPr>
          <w:rFonts w:hint="eastAsia" w:ascii="宋体" w:hAnsi="宋体"/>
          <w:sz w:val="24"/>
        </w:rPr>
      </w:pPr>
      <w:r>
        <w:rPr>
          <w:rFonts w:hint="eastAsia" w:ascii="宋体" w:hAnsi="宋体"/>
          <w:b/>
          <w:bCs/>
          <w:sz w:val="24"/>
        </w:rPr>
        <w:t>九、</w:t>
      </w:r>
      <w:r>
        <w:rPr>
          <w:rFonts w:hint="eastAsia" w:ascii="宋体" w:hAnsi="宋体"/>
          <w:sz w:val="24"/>
        </w:rPr>
        <w:t>违约责任</w:t>
      </w:r>
    </w:p>
    <w:p>
      <w:pPr>
        <w:spacing w:line="500" w:lineRule="exact"/>
        <w:ind w:firstLine="480" w:firstLineChars="200"/>
        <w:rPr>
          <w:rFonts w:hint="eastAsia" w:ascii="宋体" w:hAnsi="宋体"/>
          <w:sz w:val="24"/>
        </w:rPr>
      </w:pPr>
      <w:r>
        <w:rPr>
          <w:rFonts w:hint="eastAsia" w:ascii="宋体" w:hAnsi="宋体"/>
          <w:sz w:val="24"/>
        </w:rPr>
        <w:t>（一）甲方违约责任</w:t>
      </w:r>
    </w:p>
    <w:p>
      <w:pPr>
        <w:spacing w:line="500" w:lineRule="exact"/>
        <w:ind w:firstLine="480" w:firstLineChars="200"/>
        <w:rPr>
          <w:rFonts w:hint="eastAsia" w:ascii="宋体" w:hAnsi="宋体"/>
          <w:sz w:val="24"/>
        </w:rPr>
      </w:pPr>
      <w:r>
        <w:rPr>
          <w:rFonts w:hint="eastAsia" w:ascii="宋体" w:hAnsi="宋体"/>
          <w:sz w:val="24"/>
        </w:rPr>
        <w:t>1.甲方未按合同约定逾期支付的，每逾期一日，甲方每天按应付工程款的万分之二向乙方支付违约金。</w:t>
      </w:r>
    </w:p>
    <w:p>
      <w:pPr>
        <w:spacing w:line="500" w:lineRule="exact"/>
        <w:ind w:firstLine="480" w:firstLineChars="200"/>
        <w:rPr>
          <w:rFonts w:hint="eastAsia" w:ascii="宋体" w:hAnsi="宋体"/>
          <w:sz w:val="24"/>
        </w:rPr>
      </w:pPr>
      <w:r>
        <w:rPr>
          <w:rFonts w:hint="eastAsia" w:ascii="宋体" w:hAnsi="宋体"/>
          <w:sz w:val="24"/>
        </w:rPr>
        <w:t>（二）乙方违约责任</w:t>
      </w:r>
    </w:p>
    <w:p>
      <w:pPr>
        <w:spacing w:line="500" w:lineRule="exact"/>
        <w:rPr>
          <w:rFonts w:hint="eastAsia" w:ascii="宋体" w:hAnsi="宋体"/>
          <w:sz w:val="24"/>
        </w:rPr>
      </w:pPr>
      <w:r>
        <w:rPr>
          <w:rFonts w:hint="eastAsia" w:ascii="宋体" w:hAnsi="宋体"/>
          <w:sz w:val="24"/>
        </w:rPr>
        <w:t xml:space="preserve">   1．因乙方原因造成工程延迟的，乙方每天按合同总价款的千分之二向甲方支付违约金。</w:t>
      </w:r>
    </w:p>
    <w:p>
      <w:pPr>
        <w:spacing w:line="500" w:lineRule="exact"/>
        <w:ind w:firstLine="480" w:firstLineChars="200"/>
        <w:rPr>
          <w:rFonts w:hint="eastAsia" w:ascii="宋体" w:hAnsi="宋体"/>
          <w:sz w:val="24"/>
        </w:rPr>
      </w:pPr>
      <w:r>
        <w:rPr>
          <w:rFonts w:hint="eastAsia" w:ascii="宋体" w:hAnsi="宋体"/>
          <w:sz w:val="24"/>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spacing w:line="500" w:lineRule="exact"/>
        <w:ind w:firstLine="480"/>
        <w:rPr>
          <w:rFonts w:hint="eastAsia" w:ascii="宋体" w:hAnsi="宋体"/>
          <w:color w:val="000000"/>
          <w:sz w:val="24"/>
        </w:rPr>
      </w:pPr>
      <w:r>
        <w:rPr>
          <w:rFonts w:hint="eastAsia" w:ascii="宋体" w:hAnsi="宋体"/>
          <w:sz w:val="24"/>
        </w:rPr>
        <w:t>3.乙方未按照本合同约定协助甲方办理</w:t>
      </w:r>
      <w:r>
        <w:rPr>
          <w:rFonts w:hint="eastAsia" w:ascii="宋体" w:hAnsi="宋体"/>
          <w:color w:val="000000"/>
          <w:sz w:val="24"/>
        </w:rPr>
        <w:t>设备验收送电工作的，须按合同价款10%向甲方支付违约金。</w:t>
      </w:r>
    </w:p>
    <w:p>
      <w:pPr>
        <w:spacing w:line="500" w:lineRule="exact"/>
        <w:ind w:firstLine="480"/>
        <w:rPr>
          <w:rFonts w:hint="eastAsia" w:ascii="宋体" w:hAnsi="宋体"/>
          <w:sz w:val="24"/>
        </w:rPr>
      </w:pPr>
      <w:r>
        <w:rPr>
          <w:rFonts w:hint="eastAsia" w:ascii="宋体" w:hAnsi="宋体"/>
          <w:color w:val="000000"/>
          <w:sz w:val="24"/>
        </w:rPr>
        <w:t>4.乙方未按本合同约定在质量保修期间内向甲方及时提供维修服务的，须赔偿因此给甲方造成的一切损失，包括但不限于甲方垫付的维修费、因乙方不及时维修造成的其他损失。</w:t>
      </w:r>
    </w:p>
    <w:p>
      <w:pPr>
        <w:spacing w:line="500" w:lineRule="exact"/>
        <w:rPr>
          <w:rFonts w:hint="eastAsia" w:ascii="宋体" w:hAnsi="宋体"/>
          <w:sz w:val="24"/>
        </w:rPr>
      </w:pPr>
      <w:r>
        <w:rPr>
          <w:rFonts w:hint="eastAsia" w:ascii="宋体" w:hAnsi="宋体"/>
          <w:b/>
          <w:bCs/>
          <w:sz w:val="24"/>
        </w:rPr>
        <w:t>十、</w:t>
      </w:r>
      <w:r>
        <w:rPr>
          <w:rFonts w:hint="eastAsia" w:ascii="宋体" w:hAnsi="宋体"/>
          <w:sz w:val="24"/>
        </w:rPr>
        <w:t>因履行本合同发生的争议，由当事人协商解决，协商不成的，任何一方均应向工程所在地有管辖权的人民法院起诉。</w:t>
      </w:r>
    </w:p>
    <w:p>
      <w:pPr>
        <w:spacing w:line="500" w:lineRule="exact"/>
        <w:rPr>
          <w:rFonts w:hint="eastAsia" w:ascii="宋体" w:hAnsi="宋体"/>
          <w:sz w:val="24"/>
        </w:rPr>
      </w:pPr>
      <w:r>
        <w:rPr>
          <w:rFonts w:hint="eastAsia" w:ascii="宋体" w:hAnsi="宋体"/>
          <w:b/>
          <w:bCs/>
          <w:sz w:val="24"/>
        </w:rPr>
        <w:t>十一、</w:t>
      </w:r>
      <w:r>
        <w:rPr>
          <w:rFonts w:hint="eastAsia" w:ascii="宋体" w:hAnsi="宋体"/>
          <w:sz w:val="24"/>
        </w:rPr>
        <w:t>本合同一式陆份，甲方持肆份，乙方持贰份。</w:t>
      </w:r>
    </w:p>
    <w:p>
      <w:pPr>
        <w:spacing w:line="500" w:lineRule="exact"/>
        <w:rPr>
          <w:rFonts w:hint="eastAsia" w:ascii="宋体" w:hAnsi="宋体"/>
          <w:sz w:val="24"/>
        </w:rPr>
      </w:pPr>
      <w:r>
        <w:rPr>
          <w:rFonts w:hint="eastAsia" w:ascii="宋体" w:hAnsi="宋体"/>
          <w:b/>
          <w:bCs/>
          <w:sz w:val="24"/>
        </w:rPr>
        <w:t>十二、</w:t>
      </w:r>
      <w:r>
        <w:rPr>
          <w:rFonts w:hint="eastAsia" w:ascii="宋体" w:hAnsi="宋体"/>
          <w:sz w:val="24"/>
        </w:rPr>
        <w:t>本合同未尽事宜由双方友好协商解决，并签订《补充协议》明确双方权利义务。</w:t>
      </w:r>
    </w:p>
    <w:p>
      <w:pPr>
        <w:spacing w:line="500" w:lineRule="exact"/>
        <w:rPr>
          <w:rFonts w:hint="eastAsia" w:ascii="宋体" w:hAnsi="宋体"/>
          <w:color w:val="000000"/>
          <w:sz w:val="24"/>
        </w:rPr>
      </w:pPr>
      <w:r>
        <w:rPr>
          <w:rFonts w:hint="eastAsia" w:ascii="宋体" w:hAnsi="宋体"/>
          <w:b/>
          <w:color w:val="000000"/>
          <w:sz w:val="24"/>
        </w:rPr>
        <w:t>十三、</w:t>
      </w:r>
      <w:r>
        <w:rPr>
          <w:rFonts w:hint="eastAsia" w:ascii="宋体" w:hAnsi="宋体"/>
          <w:color w:val="000000"/>
          <w:sz w:val="24"/>
        </w:rPr>
        <w:t>以下为本合同附件，与本合同具有相同法律效力：</w:t>
      </w:r>
    </w:p>
    <w:p>
      <w:pPr>
        <w:spacing w:line="500" w:lineRule="exact"/>
        <w:ind w:firstLine="480" w:firstLineChars="200"/>
        <w:rPr>
          <w:rFonts w:hint="eastAsia" w:ascii="宋体" w:hAnsi="宋体"/>
          <w:color w:val="000000"/>
          <w:sz w:val="24"/>
        </w:rPr>
      </w:pPr>
      <w:r>
        <w:rPr>
          <w:rFonts w:hint="eastAsia" w:ascii="宋体" w:hAnsi="宋体"/>
          <w:color w:val="000000"/>
          <w:sz w:val="24"/>
        </w:rPr>
        <w:t xml:space="preserve">附件一 《工程预算书》  </w:t>
      </w:r>
    </w:p>
    <w:p>
      <w:pPr>
        <w:spacing w:line="500" w:lineRule="exact"/>
        <w:ind w:firstLine="480" w:firstLineChars="200"/>
        <w:rPr>
          <w:rFonts w:hint="eastAsia" w:ascii="宋体" w:hAnsi="宋体"/>
          <w:color w:val="000000"/>
          <w:sz w:val="24"/>
        </w:rPr>
      </w:pPr>
      <w:r>
        <w:rPr>
          <w:rFonts w:hint="eastAsia" w:ascii="宋体" w:hAnsi="宋体" w:cs="宋体"/>
          <w:caps/>
          <w:sz w:val="24"/>
        </w:rPr>
        <w:t>附件二《乙供材料设备清单》</w:t>
      </w:r>
    </w:p>
    <w:p>
      <w:pPr>
        <w:spacing w:line="500" w:lineRule="exact"/>
        <w:rPr>
          <w:rFonts w:hint="eastAsia" w:ascii="宋体" w:hAnsi="宋体"/>
          <w:sz w:val="24"/>
        </w:rPr>
      </w:pPr>
      <w:r>
        <w:rPr>
          <w:rFonts w:hint="eastAsia" w:ascii="宋体" w:hAnsi="宋体"/>
          <w:b/>
          <w:bCs/>
          <w:sz w:val="24"/>
        </w:rPr>
        <w:t>十四、</w:t>
      </w:r>
      <w:r>
        <w:rPr>
          <w:rFonts w:hint="eastAsia" w:ascii="宋体" w:hAnsi="宋体"/>
          <w:sz w:val="24"/>
        </w:rPr>
        <w:t>本合同经双方签字、盖章后生效，双方责任履行完毕后自动终止。</w:t>
      </w:r>
    </w:p>
    <w:p>
      <w:pPr>
        <w:spacing w:line="500" w:lineRule="exact"/>
        <w:rPr>
          <w:rFonts w:hint="eastAsia" w:ascii="宋体" w:hAnsi="宋体"/>
          <w:color w:val="000000"/>
          <w:sz w:val="24"/>
        </w:rPr>
      </w:pPr>
      <w:r>
        <w:rPr>
          <w:rFonts w:hint="eastAsia" w:ascii="宋体" w:hAnsi="宋体"/>
          <w:color w:val="000000"/>
          <w:sz w:val="24"/>
        </w:rPr>
        <w:t>（以下无正文）</w:t>
      </w:r>
    </w:p>
    <w:p>
      <w:pPr>
        <w:spacing w:line="500" w:lineRule="exact"/>
        <w:rPr>
          <w:rFonts w:hint="eastAsia" w:ascii="宋体" w:hAnsi="宋体"/>
          <w:color w:val="000000"/>
          <w:sz w:val="24"/>
        </w:rPr>
      </w:pPr>
    </w:p>
    <w:p>
      <w:pPr>
        <w:spacing w:line="500" w:lineRule="exact"/>
        <w:rPr>
          <w:rFonts w:hint="eastAsia" w:ascii="宋体" w:hAnsi="宋体"/>
          <w:color w:val="000000"/>
          <w:sz w:val="24"/>
        </w:rPr>
      </w:pPr>
    </w:p>
    <w:p>
      <w:pPr>
        <w:spacing w:line="500" w:lineRule="exact"/>
        <w:ind w:left="120" w:hanging="120" w:hangingChars="50"/>
        <w:rPr>
          <w:rFonts w:hint="eastAsia" w:ascii="宋体" w:hAnsi="宋体"/>
          <w:color w:val="000000"/>
          <w:sz w:val="24"/>
        </w:rPr>
      </w:pPr>
      <w:r>
        <w:rPr>
          <w:rFonts w:hint="eastAsia" w:ascii="宋体" w:hAnsi="宋体"/>
          <w:color w:val="000000"/>
          <w:sz w:val="24"/>
        </w:rPr>
        <w:t>甲方：广西中马钦州产业园区开发有限公司     乙方：*****有限公司</w:t>
      </w:r>
    </w:p>
    <w:p>
      <w:pPr>
        <w:spacing w:line="500" w:lineRule="exact"/>
        <w:rPr>
          <w:rFonts w:hint="eastAsia" w:ascii="宋体" w:hAnsi="宋体"/>
          <w:color w:val="000000"/>
          <w:sz w:val="24"/>
        </w:rPr>
      </w:pPr>
      <w:r>
        <w:rPr>
          <w:rFonts w:hint="eastAsia"/>
          <w:color w:val="000000"/>
          <w:sz w:val="24"/>
        </w:rPr>
        <w:t>单位地址：</w:t>
      </w:r>
      <w:r>
        <w:rPr>
          <w:rFonts w:hint="eastAsia" w:ascii="宋体" w:hAnsi="宋体" w:cs="宋体"/>
          <w:sz w:val="24"/>
        </w:rPr>
        <w:t>钦州市中马大街1号B101房</w:t>
      </w:r>
      <w:r>
        <w:rPr>
          <w:rFonts w:hint="eastAsia" w:ascii="宋体" w:hAnsi="宋体"/>
          <w:color w:val="000000"/>
          <w:sz w:val="24"/>
        </w:rPr>
        <w:t xml:space="preserve">        地址： </w:t>
      </w:r>
    </w:p>
    <w:p>
      <w:pPr>
        <w:spacing w:line="500" w:lineRule="exact"/>
        <w:rPr>
          <w:rFonts w:hint="eastAsia"/>
          <w:color w:val="000000"/>
          <w:sz w:val="24"/>
        </w:rPr>
      </w:pPr>
      <w:r>
        <w:rPr>
          <w:rFonts w:hint="eastAsia"/>
          <w:color w:val="000000"/>
          <w:sz w:val="24"/>
        </w:rPr>
        <w:t>法定代表人：</w:t>
      </w:r>
      <w:r>
        <w:rPr>
          <w:color w:val="000000"/>
          <w:sz w:val="24"/>
        </w:rPr>
        <w:t xml:space="preserve">                             </w:t>
      </w:r>
      <w:r>
        <w:rPr>
          <w:rFonts w:hint="eastAsia"/>
          <w:color w:val="000000"/>
          <w:sz w:val="24"/>
        </w:rPr>
        <w:t xml:space="preserve">  法定代表人：</w:t>
      </w:r>
    </w:p>
    <w:p>
      <w:pPr>
        <w:spacing w:line="500" w:lineRule="exact"/>
        <w:rPr>
          <w:color w:val="000000"/>
          <w:sz w:val="24"/>
        </w:rPr>
      </w:pPr>
      <w:r>
        <w:rPr>
          <w:rFonts w:hint="eastAsia" w:ascii="宋体" w:hAnsi="宋体"/>
          <w:color w:val="000000"/>
          <w:sz w:val="24"/>
        </w:rPr>
        <w:t>委托代理人：                               委托代理人：</w:t>
      </w:r>
    </w:p>
    <w:p>
      <w:pPr>
        <w:spacing w:line="500" w:lineRule="exact"/>
        <w:rPr>
          <w:rFonts w:ascii="宋体" w:hAnsi="宋体"/>
          <w:color w:val="000000"/>
          <w:sz w:val="24"/>
        </w:rPr>
      </w:pPr>
      <w:r>
        <w:rPr>
          <w:rFonts w:hint="eastAsia"/>
          <w:color w:val="000000"/>
          <w:sz w:val="24"/>
        </w:rPr>
        <w:t xml:space="preserve">          </w:t>
      </w:r>
      <w:r>
        <w:rPr>
          <w:color w:val="000000"/>
          <w:sz w:val="24"/>
        </w:rPr>
        <w:t xml:space="preserve">                             </w:t>
      </w:r>
      <w:r>
        <w:rPr>
          <w:rFonts w:hint="eastAsia"/>
          <w:color w:val="000000"/>
          <w:sz w:val="24"/>
        </w:rPr>
        <w:t xml:space="preserve">    </w:t>
      </w:r>
      <w:r>
        <w:rPr>
          <w:rFonts w:hint="eastAsia" w:ascii="宋体" w:hAnsi="宋体"/>
          <w:color w:val="000000"/>
          <w:sz w:val="24"/>
        </w:rPr>
        <w:t>经办人：</w:t>
      </w:r>
    </w:p>
    <w:p>
      <w:pPr>
        <w:spacing w:line="500" w:lineRule="exact"/>
        <w:rPr>
          <w:color w:val="000000"/>
          <w:sz w:val="24"/>
        </w:rPr>
      </w:pPr>
      <w:r>
        <w:rPr>
          <w:rFonts w:hint="eastAsia"/>
          <w:color w:val="000000"/>
          <w:sz w:val="24"/>
        </w:rPr>
        <w:t>联系人：</w:t>
      </w:r>
      <w:r>
        <w:rPr>
          <w:color w:val="000000"/>
          <w:sz w:val="24"/>
        </w:rPr>
        <w:t xml:space="preserve">                        </w:t>
      </w:r>
      <w:r>
        <w:rPr>
          <w:rFonts w:hint="eastAsia"/>
          <w:color w:val="000000"/>
          <w:sz w:val="24"/>
        </w:rPr>
        <w:t xml:space="preserve">          </w:t>
      </w:r>
      <w:r>
        <w:rPr>
          <w:rFonts w:hint="eastAsia" w:ascii="宋体" w:hAnsi="宋体"/>
          <w:color w:val="000000"/>
          <w:sz w:val="24"/>
        </w:rPr>
        <w:t xml:space="preserve"> 施工负责人：</w:t>
      </w:r>
    </w:p>
    <w:p>
      <w:pPr>
        <w:spacing w:line="500" w:lineRule="exact"/>
        <w:rPr>
          <w:rFonts w:ascii="宋体" w:hAnsi="宋体"/>
          <w:color w:val="000000"/>
          <w:sz w:val="24"/>
        </w:rPr>
      </w:pPr>
      <w:r>
        <w:rPr>
          <w:rFonts w:hint="eastAsia"/>
          <w:color w:val="000000"/>
          <w:sz w:val="24"/>
        </w:rPr>
        <w:t>电话：0777-5988988</w:t>
      </w:r>
      <w:r>
        <w:rPr>
          <w:color w:val="000000"/>
          <w:sz w:val="24"/>
        </w:rPr>
        <w:t xml:space="preserve">                         </w:t>
      </w:r>
      <w:r>
        <w:rPr>
          <w:rFonts w:hint="eastAsia" w:ascii="宋体" w:hAnsi="宋体"/>
          <w:color w:val="000000"/>
          <w:sz w:val="24"/>
        </w:rPr>
        <w:t xml:space="preserve">电话： </w:t>
      </w:r>
    </w:p>
    <w:p>
      <w:pPr>
        <w:tabs>
          <w:tab w:val="left" w:pos="5760"/>
        </w:tabs>
        <w:spacing w:line="500" w:lineRule="exact"/>
        <w:rPr>
          <w:rFonts w:hint="eastAsia" w:ascii="宋体" w:hAnsi="宋体"/>
          <w:color w:val="000000"/>
          <w:sz w:val="24"/>
        </w:rPr>
      </w:pPr>
      <w:r>
        <w:rPr>
          <w:rFonts w:hint="eastAsia" w:ascii="宋体" w:hAnsi="宋体"/>
          <w:color w:val="000000"/>
          <w:sz w:val="24"/>
        </w:rPr>
        <w:t xml:space="preserve">      </w:t>
      </w:r>
    </w:p>
    <w:p>
      <w:pPr>
        <w:tabs>
          <w:tab w:val="left" w:pos="5760"/>
        </w:tabs>
        <w:spacing w:line="500" w:lineRule="exact"/>
        <w:rPr>
          <w:rFonts w:hint="eastAsia" w:ascii="宋体" w:hAnsi="宋体"/>
          <w:color w:val="000000"/>
          <w:sz w:val="24"/>
        </w:rPr>
      </w:pPr>
    </w:p>
    <w:p>
      <w:pPr>
        <w:spacing w:line="500" w:lineRule="exact"/>
        <w:jc w:val="center"/>
        <w:rPr>
          <w:rFonts w:hint="eastAsia" w:ascii="宋体" w:hAnsi="宋体"/>
          <w:color w:val="000000"/>
          <w:sz w:val="24"/>
        </w:rPr>
      </w:pPr>
      <w:r>
        <w:rPr>
          <w:rFonts w:hint="eastAsia" w:ascii="宋体" w:hAnsi="宋体"/>
          <w:color w:val="000000"/>
          <w:sz w:val="24"/>
        </w:rPr>
        <w:t>签订地点：广西中马钦州产业园区</w:t>
      </w:r>
    </w:p>
    <w:p>
      <w:pPr>
        <w:spacing w:line="500" w:lineRule="exact"/>
        <w:jc w:val="center"/>
        <w:rPr>
          <w:rFonts w:hint="eastAsia" w:ascii="宋体" w:hAnsi="宋体"/>
          <w:color w:val="000000"/>
          <w:sz w:val="24"/>
        </w:rPr>
      </w:pPr>
      <w:r>
        <w:rPr>
          <w:rFonts w:hint="eastAsia" w:ascii="宋体" w:hAnsi="宋体"/>
          <w:color w:val="000000"/>
          <w:sz w:val="24"/>
        </w:rPr>
        <w:t xml:space="preserve">签订时间：2018年   月     日 </w:t>
      </w:r>
    </w:p>
    <w:p>
      <w:pPr>
        <w:spacing w:line="500" w:lineRule="exact"/>
        <w:rPr>
          <w:rFonts w:hint="eastAsia" w:ascii="Times New Roman" w:hAnsi="仿宋" w:eastAsia="仿宋"/>
          <w:sz w:val="32"/>
          <w:szCs w:val="32"/>
        </w:rPr>
      </w:pPr>
    </w:p>
    <w:p>
      <w:pPr>
        <w:spacing w:line="520" w:lineRule="exact"/>
        <w:rPr>
          <w:rFonts w:hint="eastAsia" w:ascii="Times New Roman" w:hAnsi="仿宋" w:eastAsia="仿宋"/>
          <w:sz w:val="32"/>
          <w:szCs w:val="32"/>
          <w:lang w:eastAsia="zh-CN"/>
        </w:rPr>
      </w:pPr>
    </w:p>
    <w:sectPr>
      <w:pgSz w:w="11906" w:h="16838"/>
      <w:pgMar w:top="2041" w:right="1361" w:bottom="1814" w:left="1474"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MingLiU">
    <w:panose1 w:val="02020509000000000000"/>
    <w:charset w:val="88"/>
    <w:family w:val="modern"/>
    <w:pitch w:val="default"/>
    <w:sig w:usb0="A00002FF" w:usb1="28CFFCFA" w:usb2="00000016" w:usb3="00000000" w:csb0="00100001"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0CD2D75B"/>
    <w:multiLevelType w:val="singleLevel"/>
    <w:tmpl w:val="0CD2D75B"/>
    <w:lvl w:ilvl="0" w:tentative="0">
      <w:start w:val="4"/>
      <w:numFmt w:val="decimal"/>
      <w:suff w:val="nothing"/>
      <w:lvlText w:val="%1、"/>
      <w:lvlJc w:val="left"/>
    </w:lvl>
  </w:abstractNum>
  <w:abstractNum w:abstractNumId="2">
    <w:nsid w:val="14415837"/>
    <w:multiLevelType w:val="singleLevel"/>
    <w:tmpl w:val="14415837"/>
    <w:lvl w:ilvl="0" w:tentative="0">
      <w:start w:val="1"/>
      <w:numFmt w:val="chineseCounting"/>
      <w:suff w:val="nothing"/>
      <w:lvlText w:val="%1、"/>
      <w:lvlJc w:val="left"/>
      <w:rPr>
        <w:rFonts w:hint="eastAsia"/>
      </w:rPr>
    </w:lvl>
  </w:abstractNum>
  <w:abstractNum w:abstractNumId="3">
    <w:nsid w:val="435F0FB0"/>
    <w:multiLevelType w:val="singleLevel"/>
    <w:tmpl w:val="435F0FB0"/>
    <w:lvl w:ilvl="0" w:tentative="0">
      <w:start w:val="1"/>
      <w:numFmt w:val="decimal"/>
      <w:suff w:val="nothing"/>
      <w:lvlText w:val="%1、"/>
      <w:lvlJc w:val="left"/>
    </w:lvl>
  </w:abstractNum>
  <w:abstractNum w:abstractNumId="4">
    <w:nsid w:val="67F1BAFD"/>
    <w:multiLevelType w:val="singleLevel"/>
    <w:tmpl w:val="67F1BAFD"/>
    <w:lvl w:ilvl="0" w:tentative="0">
      <w:start w:val="1"/>
      <w:numFmt w:val="chineseCounting"/>
      <w:suff w:val="nothing"/>
      <w:lvlText w:val="（%1）"/>
      <w:lvlJc w:val="left"/>
      <w:rPr>
        <w:rFonts w:hint="eastAsia"/>
      </w:r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C40E32"/>
    <w:rsid w:val="01FE1090"/>
    <w:rsid w:val="02036C19"/>
    <w:rsid w:val="022416DD"/>
    <w:rsid w:val="02A514B3"/>
    <w:rsid w:val="03541B11"/>
    <w:rsid w:val="04454CA5"/>
    <w:rsid w:val="04AE67D3"/>
    <w:rsid w:val="052012CE"/>
    <w:rsid w:val="05966D0B"/>
    <w:rsid w:val="06617B9C"/>
    <w:rsid w:val="0663462A"/>
    <w:rsid w:val="085E259B"/>
    <w:rsid w:val="089B200F"/>
    <w:rsid w:val="08E73269"/>
    <w:rsid w:val="097850AB"/>
    <w:rsid w:val="0A104508"/>
    <w:rsid w:val="0AC27F6F"/>
    <w:rsid w:val="0BE22DB5"/>
    <w:rsid w:val="0BE713B9"/>
    <w:rsid w:val="0C54503E"/>
    <w:rsid w:val="0C74384C"/>
    <w:rsid w:val="0C78463A"/>
    <w:rsid w:val="0CAC46BF"/>
    <w:rsid w:val="10BC46FD"/>
    <w:rsid w:val="111C0D40"/>
    <w:rsid w:val="113A7D94"/>
    <w:rsid w:val="1250635C"/>
    <w:rsid w:val="13D1798C"/>
    <w:rsid w:val="156856B4"/>
    <w:rsid w:val="176A156D"/>
    <w:rsid w:val="17ED2E67"/>
    <w:rsid w:val="1989121E"/>
    <w:rsid w:val="19CC7067"/>
    <w:rsid w:val="1A4E6E18"/>
    <w:rsid w:val="1A6E128B"/>
    <w:rsid w:val="1A965703"/>
    <w:rsid w:val="1B12534E"/>
    <w:rsid w:val="1B802658"/>
    <w:rsid w:val="1C5429D7"/>
    <w:rsid w:val="1DE85EAB"/>
    <w:rsid w:val="1E2C076C"/>
    <w:rsid w:val="1EB92A66"/>
    <w:rsid w:val="204D6E1B"/>
    <w:rsid w:val="239F7A41"/>
    <w:rsid w:val="23B5705C"/>
    <w:rsid w:val="23C92560"/>
    <w:rsid w:val="24527160"/>
    <w:rsid w:val="24863CE7"/>
    <w:rsid w:val="24AB3B72"/>
    <w:rsid w:val="24C66085"/>
    <w:rsid w:val="24D920D1"/>
    <w:rsid w:val="25E83B22"/>
    <w:rsid w:val="26191543"/>
    <w:rsid w:val="274F5AD5"/>
    <w:rsid w:val="2772074B"/>
    <w:rsid w:val="287D14EE"/>
    <w:rsid w:val="28CF0F13"/>
    <w:rsid w:val="29302287"/>
    <w:rsid w:val="2AE1130A"/>
    <w:rsid w:val="2B3B4198"/>
    <w:rsid w:val="2B9040DF"/>
    <w:rsid w:val="2BC333E8"/>
    <w:rsid w:val="2D0058F7"/>
    <w:rsid w:val="2D535575"/>
    <w:rsid w:val="2D8756A7"/>
    <w:rsid w:val="2EE751C9"/>
    <w:rsid w:val="2F8001EC"/>
    <w:rsid w:val="2FB665E3"/>
    <w:rsid w:val="2FBF6641"/>
    <w:rsid w:val="2FC77F6E"/>
    <w:rsid w:val="2FD17D37"/>
    <w:rsid w:val="301C4A57"/>
    <w:rsid w:val="30BF3F71"/>
    <w:rsid w:val="310E60A3"/>
    <w:rsid w:val="32BB29B0"/>
    <w:rsid w:val="3336205B"/>
    <w:rsid w:val="337241D7"/>
    <w:rsid w:val="34302D75"/>
    <w:rsid w:val="35124ACF"/>
    <w:rsid w:val="357A595C"/>
    <w:rsid w:val="375412FA"/>
    <w:rsid w:val="37EA0817"/>
    <w:rsid w:val="392605C5"/>
    <w:rsid w:val="394F3B09"/>
    <w:rsid w:val="3A2700A6"/>
    <w:rsid w:val="3A390BC1"/>
    <w:rsid w:val="3A64249D"/>
    <w:rsid w:val="3B2D47A9"/>
    <w:rsid w:val="3B4275E9"/>
    <w:rsid w:val="3C7E23F1"/>
    <w:rsid w:val="3CF05AB8"/>
    <w:rsid w:val="3DCF66DC"/>
    <w:rsid w:val="3E8302A5"/>
    <w:rsid w:val="3FAE4650"/>
    <w:rsid w:val="3FD41A7D"/>
    <w:rsid w:val="404F26AF"/>
    <w:rsid w:val="41F26D69"/>
    <w:rsid w:val="423168E5"/>
    <w:rsid w:val="42A50DC3"/>
    <w:rsid w:val="434F0B25"/>
    <w:rsid w:val="44802897"/>
    <w:rsid w:val="452F7387"/>
    <w:rsid w:val="464E4863"/>
    <w:rsid w:val="46543F65"/>
    <w:rsid w:val="46613A62"/>
    <w:rsid w:val="46E00E75"/>
    <w:rsid w:val="47003F31"/>
    <w:rsid w:val="478449B9"/>
    <w:rsid w:val="47B015A8"/>
    <w:rsid w:val="47B7253A"/>
    <w:rsid w:val="47EB2F2F"/>
    <w:rsid w:val="4B323153"/>
    <w:rsid w:val="4B5056BB"/>
    <w:rsid w:val="4B57355E"/>
    <w:rsid w:val="4B744EA9"/>
    <w:rsid w:val="4C866E6A"/>
    <w:rsid w:val="4CB913EE"/>
    <w:rsid w:val="4DB0799B"/>
    <w:rsid w:val="4F9B3B1C"/>
    <w:rsid w:val="503944F1"/>
    <w:rsid w:val="524E2B86"/>
    <w:rsid w:val="52F968F8"/>
    <w:rsid w:val="5308418E"/>
    <w:rsid w:val="537D0177"/>
    <w:rsid w:val="54D166E2"/>
    <w:rsid w:val="56AE247F"/>
    <w:rsid w:val="578940B2"/>
    <w:rsid w:val="590216E2"/>
    <w:rsid w:val="59705035"/>
    <w:rsid w:val="59EC7931"/>
    <w:rsid w:val="5A2D2B7B"/>
    <w:rsid w:val="5A386BA8"/>
    <w:rsid w:val="5A9A44CD"/>
    <w:rsid w:val="5B570D84"/>
    <w:rsid w:val="5CC505CA"/>
    <w:rsid w:val="5D103F11"/>
    <w:rsid w:val="5D530547"/>
    <w:rsid w:val="5F641A9C"/>
    <w:rsid w:val="5FC03A9F"/>
    <w:rsid w:val="60537C1D"/>
    <w:rsid w:val="618534E9"/>
    <w:rsid w:val="61BF2D9B"/>
    <w:rsid w:val="620908A7"/>
    <w:rsid w:val="622E4B5B"/>
    <w:rsid w:val="626E4457"/>
    <w:rsid w:val="62A647D1"/>
    <w:rsid w:val="62E13962"/>
    <w:rsid w:val="63826106"/>
    <w:rsid w:val="664639AE"/>
    <w:rsid w:val="66D0730E"/>
    <w:rsid w:val="66ED0485"/>
    <w:rsid w:val="67A64370"/>
    <w:rsid w:val="67C8708A"/>
    <w:rsid w:val="67E73E3E"/>
    <w:rsid w:val="691559EC"/>
    <w:rsid w:val="69FB0E10"/>
    <w:rsid w:val="6ABD1736"/>
    <w:rsid w:val="6BAB1465"/>
    <w:rsid w:val="6C2E445E"/>
    <w:rsid w:val="6C530683"/>
    <w:rsid w:val="6CB73B7E"/>
    <w:rsid w:val="6CC02ABA"/>
    <w:rsid w:val="6D1D6AC7"/>
    <w:rsid w:val="6D2728C0"/>
    <w:rsid w:val="6D8424E7"/>
    <w:rsid w:val="6EFF18CE"/>
    <w:rsid w:val="70FE40FA"/>
    <w:rsid w:val="712B3410"/>
    <w:rsid w:val="72AF1ABC"/>
    <w:rsid w:val="7321561B"/>
    <w:rsid w:val="741F0E1D"/>
    <w:rsid w:val="744F6C68"/>
    <w:rsid w:val="75F64166"/>
    <w:rsid w:val="76C00FE5"/>
    <w:rsid w:val="76C813BE"/>
    <w:rsid w:val="76F35C27"/>
    <w:rsid w:val="77E77AD3"/>
    <w:rsid w:val="780A0D14"/>
    <w:rsid w:val="788408E0"/>
    <w:rsid w:val="78BC4F2C"/>
    <w:rsid w:val="790D2A93"/>
    <w:rsid w:val="7A6E04BD"/>
    <w:rsid w:val="7A79462F"/>
    <w:rsid w:val="7C153D6C"/>
    <w:rsid w:val="7D1144A4"/>
    <w:rsid w:val="7DB946A0"/>
    <w:rsid w:val="7E1117F2"/>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0">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Plain Text"/>
    <w:basedOn w:val="1"/>
    <w:qFormat/>
    <w:uiPriority w:val="0"/>
    <w:rPr>
      <w:rFonts w:ascii="宋体" w:hAnsi="Courier New"/>
      <w:szCs w:val="24"/>
    </w:rPr>
  </w:style>
  <w:style w:type="paragraph" w:styleId="5">
    <w:name w:val="Body Text Indent 2"/>
    <w:basedOn w:val="1"/>
    <w:unhideWhenUsed/>
    <w:qFormat/>
    <w:uiPriority w:val="99"/>
    <w:pPr>
      <w:spacing w:line="360" w:lineRule="auto"/>
      <w:ind w:left="900"/>
    </w:pPr>
    <w:rPr>
      <w:sz w:val="24"/>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unhideWhenUsed/>
    <w:qFormat/>
    <w:uiPriority w:val="99"/>
    <w:pPr>
      <w:spacing w:line="360" w:lineRule="auto"/>
      <w:ind w:firstLine="200" w:firstLineChars="200"/>
    </w:pPr>
    <w:rPr>
      <w:sz w:val="24"/>
    </w:rPr>
  </w:style>
  <w:style w:type="paragraph" w:styleId="9">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11">
    <w:name w:val="Hyperlink"/>
    <w:basedOn w:val="10"/>
    <w:unhideWhenUsed/>
    <w:qFormat/>
    <w:uiPriority w:val="99"/>
    <w:rPr>
      <w:color w:val="0000FF"/>
      <w:u w:val="single"/>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4">
    <w:name w:val="_Style 2"/>
    <w:basedOn w:val="1"/>
    <w:qFormat/>
    <w:uiPriority w:val="0"/>
    <w:pPr>
      <w:ind w:firstLine="420" w:firstLineChars="200"/>
    </w:pPr>
    <w:rPr>
      <w:rFonts w:ascii="Calibri" w:hAnsi="Calibri"/>
      <w:szCs w:val="22"/>
    </w:rPr>
  </w:style>
  <w:style w:type="paragraph" w:customStyle="1" w:styleId="15">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
    <w:name w:val="Body text|21"/>
    <w:basedOn w:val="1"/>
    <w:link w:val="18"/>
    <w:qFormat/>
    <w:uiPriority w:val="0"/>
    <w:pPr>
      <w:widowControl w:val="0"/>
      <w:shd w:val="clear" w:color="auto" w:fill="FFFFFF"/>
      <w:adjustRightInd/>
      <w:snapToGrid/>
      <w:spacing w:before="3640" w:after="0" w:line="624" w:lineRule="exact"/>
      <w:ind w:hanging="1580"/>
      <w:jc w:val="both"/>
    </w:pPr>
    <w:rPr>
      <w:rFonts w:ascii="PMingLiU" w:hAnsi="PMingLiU" w:eastAsia="PMingLiU" w:cs="PMingLiU"/>
      <w:sz w:val="26"/>
      <w:szCs w:val="26"/>
    </w:rPr>
  </w:style>
  <w:style w:type="character" w:customStyle="1" w:styleId="17">
    <w:name w:val="Body text|2 + Spacing 2 pt"/>
    <w:basedOn w:val="18"/>
    <w:unhideWhenUsed/>
    <w:qFormat/>
    <w:uiPriority w:val="0"/>
    <w:rPr>
      <w:color w:val="000000"/>
      <w:spacing w:val="50"/>
      <w:w w:val="100"/>
      <w:position w:val="0"/>
      <w:lang w:val="zh-CN" w:eastAsia="zh-CN" w:bidi="zh-CN"/>
    </w:rPr>
  </w:style>
  <w:style w:type="character" w:customStyle="1" w:styleId="18">
    <w:name w:val="Body text|2_"/>
    <w:basedOn w:val="10"/>
    <w:link w:val="16"/>
    <w:qFormat/>
    <w:uiPriority w:val="0"/>
    <w:rPr>
      <w:rFonts w:ascii="PMingLiU" w:hAnsi="PMingLiU" w:eastAsia="PMingLiU" w:cs="PMingLiU"/>
      <w:sz w:val="26"/>
      <w:szCs w:val="26"/>
    </w:rPr>
  </w:style>
  <w:style w:type="character" w:customStyle="1" w:styleId="19">
    <w:name w:val="Body text|2 + MingLiU"/>
    <w:basedOn w:val="18"/>
    <w:unhideWhenUsed/>
    <w:qFormat/>
    <w:uiPriority w:val="0"/>
    <w:rPr>
      <w:rFonts w:ascii="MingLiU" w:hAnsi="MingLiU" w:eastAsia="MingLiU" w:cs="MingLiU"/>
      <w:color w:val="000000"/>
      <w:spacing w:val="0"/>
      <w:w w:val="100"/>
      <w:position w:val="0"/>
      <w:u w:val="single"/>
      <w:lang w:val="en-US" w:eastAsia="en-US" w:bidi="en-US"/>
    </w:rPr>
  </w:style>
  <w:style w:type="character" w:customStyle="1" w:styleId="20">
    <w:name w:val="Body text|2"/>
    <w:basedOn w:val="18"/>
    <w:unhideWhenUsed/>
    <w:qFormat/>
    <w:uiPriority w:val="0"/>
    <w:rPr>
      <w:color w:val="000000"/>
      <w:spacing w:val="0"/>
      <w:w w:val="100"/>
      <w:position w:val="0"/>
      <w:u w:val="single"/>
      <w:lang w:val="zh-CN" w:eastAsia="zh-CN" w:bidi="zh-CN"/>
    </w:rPr>
  </w:style>
  <w:style w:type="character" w:customStyle="1" w:styleId="21">
    <w:name w:val="Body text|2 + MingLiU1"/>
    <w:basedOn w:val="18"/>
    <w:unhideWhenUsed/>
    <w:qFormat/>
    <w:uiPriority w:val="0"/>
    <w:rPr>
      <w:rFonts w:ascii="MingLiU" w:hAnsi="MingLiU" w:eastAsia="MingLiU" w:cs="MingLiU"/>
      <w:color w:val="000000"/>
      <w:spacing w:val="0"/>
      <w:w w:val="100"/>
      <w:position w:val="0"/>
      <w:lang w:val="en-US"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2018-06-29T04:01:00Z</cp:lastPrinted>
  <dcterms:modified xsi:type="dcterms:W3CDTF">2018-07-03T01:58:54Z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