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eastAsia="方正小标宋_GBK"/>
          <w:color w:val="auto"/>
          <w:sz w:val="44"/>
          <w:szCs w:val="44"/>
          <w:lang w:val="en-US" w:eastAsia="zh-CN"/>
        </w:rPr>
      </w:pPr>
      <w:r>
        <w:rPr>
          <w:rFonts w:hint="eastAsia" w:ascii="方正小标宋_GBK" w:eastAsia="方正小标宋_GBK"/>
          <w:color w:val="auto"/>
          <w:sz w:val="44"/>
          <w:szCs w:val="44"/>
          <w:lang w:val="en-US" w:eastAsia="zh-CN"/>
        </w:rPr>
        <w:t>中国—马来西亚钦州产业园区启动区综合配套设施建设项目二期消防检测服务（重）</w:t>
      </w:r>
    </w:p>
    <w:p>
      <w:pPr>
        <w:spacing w:line="560" w:lineRule="exact"/>
        <w:jc w:val="center"/>
        <w:rPr>
          <w:rFonts w:hint="eastAsia" w:ascii="方正小标宋_GBK" w:eastAsia="方正小标宋_GBK"/>
          <w:color w:val="auto"/>
          <w:sz w:val="44"/>
          <w:szCs w:val="44"/>
        </w:rPr>
      </w:pPr>
      <w:r>
        <w:rPr>
          <w:rFonts w:hint="eastAsia" w:ascii="方正小标宋_GBK" w:eastAsia="方正小标宋_GBK"/>
          <w:color w:val="auto"/>
          <w:sz w:val="44"/>
          <w:szCs w:val="44"/>
        </w:rPr>
        <w:t>公开比选文件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仿宋" w:eastAsia="仿宋"/>
          <w:color w:val="auto"/>
          <w:sz w:val="32"/>
          <w:szCs w:val="32"/>
        </w:rPr>
      </w:pP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我公司的下属子公司广西孔雀湾投资开发有限公司拟对中国—马来西亚钦州产业园区启动区综合配套设施建设项目二期消防检测服务通过公开比选选择服务单位，具体事项如下：</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ascii="黑体" w:hAnsi="黑体" w:eastAsia="黑体"/>
          <w:color w:val="auto"/>
          <w:sz w:val="32"/>
          <w:szCs w:val="32"/>
        </w:rPr>
      </w:pPr>
      <w:r>
        <w:rPr>
          <w:rFonts w:ascii="黑体" w:hAnsi="黑体" w:eastAsia="黑体"/>
          <w:color w:val="auto"/>
          <w:sz w:val="32"/>
          <w:szCs w:val="32"/>
        </w:rPr>
        <w:t>一、项目基本情况</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项目概况：本项目位于中马大街以北、北一街以南、友谊大道以西、丹桂路以东地块内。 项目占地面积约 22203 平方米，总建筑面积约 94507 平方米。</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服务要求：出具经钦州市本地消防主管部门验收备案合格的检测报告，检测内容包括但不限于比选文件附件消防检测清单中要求的检测内容，同时需满足相关规范要求。</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黑体" w:hAnsi="黑体" w:eastAsia="黑体"/>
          <w:color w:val="auto"/>
          <w:sz w:val="32"/>
          <w:szCs w:val="32"/>
          <w:lang w:val="en-US" w:eastAsia="zh-CN"/>
        </w:rPr>
      </w:pPr>
      <w:r>
        <w:rPr>
          <w:rFonts w:hint="eastAsia" w:ascii="Times New Roman" w:hAnsi="仿宋" w:eastAsia="仿宋"/>
          <w:color w:val="auto"/>
          <w:sz w:val="32"/>
          <w:szCs w:val="32"/>
          <w:lang w:val="en-US" w:eastAsia="zh-CN"/>
        </w:rPr>
        <w:t>本检测服务预算控制价为205667.1元。</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ascii="黑体" w:hAnsi="黑体" w:eastAsia="黑体"/>
          <w:color w:val="auto"/>
          <w:sz w:val="32"/>
          <w:szCs w:val="32"/>
        </w:rPr>
      </w:pPr>
      <w:r>
        <w:rPr>
          <w:rFonts w:ascii="黑体" w:hAnsi="黑体" w:eastAsia="黑体"/>
          <w:color w:val="auto"/>
          <w:sz w:val="32"/>
          <w:szCs w:val="32"/>
        </w:rPr>
        <w:t>二、报价单位要求</w:t>
      </w:r>
    </w:p>
    <w:p>
      <w:pPr>
        <w:keepNext w:val="0"/>
        <w:keepLines w:val="0"/>
        <w:pageBreakBefore w:val="0"/>
        <w:widowControl w:val="0"/>
        <w:kinsoku/>
        <w:wordWrap/>
        <w:overflowPunct/>
        <w:topLinePunct w:val="0"/>
        <w:autoSpaceDE/>
        <w:autoSpaceDN/>
        <w:bidi w:val="0"/>
        <w:adjustRightInd/>
        <w:snapToGrid/>
        <w:spacing w:beforeLines="0" w:afterLines="0" w:line="520" w:lineRule="exact"/>
        <w:ind w:left="0" w:leftChars="0" w:right="0" w:rightChars="0" w:firstLine="640" w:firstLineChars="200"/>
        <w:jc w:val="both"/>
        <w:textAlignment w:val="auto"/>
        <w:outlineLvl w:val="9"/>
        <w:rPr>
          <w:rFonts w:hint="eastAsia" w:ascii="Times New Roman" w:hAnsi="仿宋" w:eastAsia="仿宋"/>
          <w:color w:val="auto"/>
          <w:sz w:val="32"/>
          <w:szCs w:val="32"/>
          <w:lang w:val="en-US" w:eastAsia="zh-CN"/>
        </w:rPr>
      </w:pPr>
      <w:r>
        <w:rPr>
          <w:rFonts w:ascii="Times New Roman" w:hAnsi="仿宋" w:eastAsia="仿宋"/>
          <w:color w:val="auto"/>
          <w:sz w:val="32"/>
          <w:szCs w:val="32"/>
        </w:rPr>
        <w:t>资质要求</w:t>
      </w:r>
      <w:r>
        <w:rPr>
          <w:rFonts w:hint="eastAsia" w:ascii="Times New Roman" w:hAnsi="仿宋" w:eastAsia="仿宋"/>
          <w:color w:val="auto"/>
          <w:sz w:val="32"/>
          <w:szCs w:val="32"/>
          <w:lang w:val="en-US" w:eastAsia="zh-CN"/>
        </w:rPr>
        <w:t>：消防设施维护保养检测一级。</w:t>
      </w:r>
    </w:p>
    <w:p>
      <w:pPr>
        <w:keepNext w:val="0"/>
        <w:keepLines w:val="0"/>
        <w:pageBreakBefore w:val="0"/>
        <w:widowControl w:val="0"/>
        <w:kinsoku/>
        <w:wordWrap/>
        <w:overflowPunct/>
        <w:topLinePunct w:val="0"/>
        <w:autoSpaceDE/>
        <w:autoSpaceDN/>
        <w:bidi w:val="0"/>
        <w:adjustRightInd/>
        <w:snapToGrid/>
        <w:spacing w:beforeLines="0" w:afterLines="0" w:line="520" w:lineRule="exact"/>
        <w:ind w:left="0" w:leftChars="0" w:right="0" w:rightChars="0" w:firstLine="640" w:firstLineChars="20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业绩要求：近三年内须具有广西区内4万平方米以上房屋建筑消防检测经验。</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ascii="黑体" w:hAnsi="黑体" w:eastAsia="黑体"/>
          <w:color w:val="auto"/>
          <w:sz w:val="32"/>
          <w:szCs w:val="32"/>
        </w:rPr>
      </w:pPr>
      <w:r>
        <w:rPr>
          <w:rFonts w:ascii="黑体" w:hAnsi="黑体" w:eastAsia="黑体"/>
          <w:color w:val="auto"/>
          <w:sz w:val="32"/>
          <w:szCs w:val="32"/>
        </w:rPr>
        <w:t>三、比选须知</w:t>
      </w:r>
    </w:p>
    <w:p>
      <w:pPr>
        <w:keepNext w:val="0"/>
        <w:keepLines w:val="0"/>
        <w:pageBreakBefore w:val="0"/>
        <w:widowControl w:val="0"/>
        <w:kinsoku/>
        <w:wordWrap/>
        <w:overflowPunct/>
        <w:topLinePunct w:val="0"/>
        <w:autoSpaceDE/>
        <w:autoSpaceDN/>
        <w:bidi w:val="0"/>
        <w:adjustRightInd/>
        <w:snapToGrid/>
        <w:spacing w:beforeLines="0" w:afterLines="0" w:line="520" w:lineRule="exact"/>
        <w:ind w:left="0" w:leftChars="0"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一</w:t>
      </w:r>
      <w:r>
        <w:rPr>
          <w:rFonts w:hint="eastAsia" w:ascii="Times New Roman" w:hAnsi="仿宋" w:eastAsia="仿宋"/>
          <w:color w:val="auto"/>
          <w:sz w:val="32"/>
          <w:szCs w:val="32"/>
        </w:rPr>
        <w:t>）比选采购范围：</w:t>
      </w:r>
      <w:r>
        <w:rPr>
          <w:rFonts w:hint="eastAsia" w:ascii="Times New Roman" w:hAnsi="仿宋" w:eastAsia="仿宋"/>
          <w:color w:val="auto"/>
          <w:sz w:val="32"/>
          <w:szCs w:val="32"/>
          <w:lang w:val="en-US" w:eastAsia="zh-CN"/>
        </w:rPr>
        <w:t>中国—马来西亚钦州产业园区启动区综合配套设施建设项目二期消防检测</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ascii="Times New Roman" w:hAnsi="Times New Roman" w:eastAsia="仿宋"/>
          <w:color w:val="auto"/>
          <w:sz w:val="32"/>
          <w:szCs w:val="32"/>
        </w:rPr>
      </w:pPr>
      <w:r>
        <w:rPr>
          <w:rFonts w:ascii="Times New Roman" w:hAnsi="仿宋" w:eastAsia="仿宋"/>
          <w:color w:val="auto"/>
          <w:sz w:val="32"/>
          <w:szCs w:val="32"/>
        </w:rPr>
        <w:t>（</w:t>
      </w:r>
      <w:r>
        <w:rPr>
          <w:rFonts w:hint="eastAsia" w:ascii="Times New Roman" w:hAnsi="仿宋" w:eastAsia="仿宋"/>
          <w:color w:val="auto"/>
          <w:sz w:val="32"/>
          <w:szCs w:val="32"/>
          <w:lang w:eastAsia="zh-CN"/>
        </w:rPr>
        <w:t>二</w:t>
      </w:r>
      <w:r>
        <w:rPr>
          <w:rFonts w:ascii="Times New Roman" w:hAnsi="仿宋" w:eastAsia="仿宋"/>
          <w:color w:val="auto"/>
          <w:sz w:val="32"/>
          <w:szCs w:val="32"/>
        </w:rPr>
        <w:t>）接收报价文件截止日期：</w:t>
      </w:r>
      <w:r>
        <w:rPr>
          <w:rFonts w:ascii="Times New Roman" w:hAnsi="Times New Roman" w:eastAsia="仿宋"/>
          <w:color w:val="auto"/>
          <w:sz w:val="32"/>
          <w:szCs w:val="32"/>
        </w:rPr>
        <w:t>201</w:t>
      </w:r>
      <w:r>
        <w:rPr>
          <w:rFonts w:hint="eastAsia" w:ascii="Times New Roman" w:hAnsi="Times New Roman" w:eastAsia="仿宋"/>
          <w:color w:val="auto"/>
          <w:sz w:val="32"/>
          <w:szCs w:val="32"/>
          <w:lang w:val="en-US" w:eastAsia="zh-CN"/>
        </w:rPr>
        <w:t>9</w:t>
      </w:r>
      <w:r>
        <w:rPr>
          <w:rFonts w:ascii="Times New Roman" w:hAnsi="仿宋" w:eastAsia="仿宋"/>
          <w:color w:val="auto"/>
          <w:sz w:val="32"/>
          <w:szCs w:val="32"/>
        </w:rPr>
        <w:t>年</w:t>
      </w:r>
      <w:r>
        <w:rPr>
          <w:rFonts w:hint="eastAsia" w:ascii="Times New Roman" w:hAnsi="仿宋" w:eastAsia="仿宋"/>
          <w:color w:val="auto"/>
          <w:sz w:val="32"/>
          <w:szCs w:val="32"/>
          <w:lang w:val="en-US" w:eastAsia="zh-CN"/>
        </w:rPr>
        <w:t>8</w:t>
      </w:r>
      <w:r>
        <w:rPr>
          <w:rFonts w:ascii="Times New Roman" w:hAnsi="仿宋" w:eastAsia="仿宋"/>
          <w:color w:val="auto"/>
          <w:sz w:val="32"/>
          <w:szCs w:val="32"/>
        </w:rPr>
        <w:t>月</w:t>
      </w:r>
      <w:r>
        <w:rPr>
          <w:rFonts w:hint="eastAsia" w:ascii="Times New Roman" w:hAnsi="仿宋" w:eastAsia="仿宋"/>
          <w:color w:val="auto"/>
          <w:sz w:val="32"/>
          <w:szCs w:val="32"/>
          <w:lang w:val="en-US" w:eastAsia="zh-CN"/>
        </w:rPr>
        <w:t>12</w:t>
      </w:r>
      <w:r>
        <w:rPr>
          <w:rFonts w:ascii="Times New Roman" w:hAnsi="仿宋" w:eastAsia="仿宋"/>
          <w:color w:val="auto"/>
          <w:sz w:val="32"/>
          <w:szCs w:val="32"/>
        </w:rPr>
        <w:t>日</w:t>
      </w:r>
      <w:r>
        <w:rPr>
          <w:rFonts w:ascii="Times New Roman" w:hAnsi="Times New Roman" w:eastAsia="仿宋"/>
          <w:color w:val="auto"/>
          <w:sz w:val="32"/>
          <w:szCs w:val="32"/>
        </w:rPr>
        <w:t>1</w:t>
      </w:r>
      <w:r>
        <w:rPr>
          <w:rFonts w:hint="eastAsia" w:ascii="Times New Roman" w:hAnsi="Times New Roman" w:eastAsia="仿宋"/>
          <w:color w:val="auto"/>
          <w:sz w:val="32"/>
          <w:szCs w:val="32"/>
          <w:lang w:val="en-US" w:eastAsia="zh-CN"/>
        </w:rPr>
        <w:t>8</w:t>
      </w:r>
      <w:r>
        <w:rPr>
          <w:rFonts w:ascii="Times New Roman" w:hAnsi="Times New Roman" w:eastAsia="仿宋"/>
          <w:color w:val="auto"/>
          <w:sz w:val="32"/>
          <w:szCs w:val="32"/>
        </w:rPr>
        <w:t>:00</w:t>
      </w:r>
      <w:r>
        <w:rPr>
          <w:rFonts w:ascii="Times New Roman" w:hAnsi="仿宋" w:eastAsia="仿宋"/>
          <w:color w:val="auto"/>
          <w:sz w:val="32"/>
          <w:szCs w:val="32"/>
        </w:rPr>
        <w:t>止。</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Times New Roman" w:hAnsi="Times New Roman" w:eastAsia="仿宋"/>
          <w:color w:val="auto"/>
          <w:sz w:val="32"/>
          <w:szCs w:val="32"/>
          <w:lang w:eastAsia="zh-CN"/>
        </w:rPr>
      </w:pPr>
      <w:r>
        <w:rPr>
          <w:rFonts w:ascii="Times New Roman" w:hAnsi="仿宋" w:eastAsia="仿宋"/>
          <w:color w:val="auto"/>
          <w:sz w:val="32"/>
          <w:szCs w:val="32"/>
        </w:rPr>
        <w:t>（</w:t>
      </w:r>
      <w:r>
        <w:rPr>
          <w:rFonts w:hint="eastAsia" w:ascii="Times New Roman" w:hAnsi="仿宋" w:eastAsia="仿宋"/>
          <w:color w:val="auto"/>
          <w:sz w:val="32"/>
          <w:szCs w:val="32"/>
          <w:lang w:eastAsia="zh-CN"/>
        </w:rPr>
        <w:t>三</w:t>
      </w:r>
      <w:r>
        <w:rPr>
          <w:rFonts w:ascii="Times New Roman" w:hAnsi="仿宋" w:eastAsia="仿宋"/>
          <w:color w:val="auto"/>
          <w:sz w:val="32"/>
          <w:szCs w:val="32"/>
        </w:rPr>
        <w:t>）工期要求</w:t>
      </w:r>
      <w:r>
        <w:rPr>
          <w:rFonts w:hint="eastAsia" w:ascii="Times New Roman" w:hAnsi="Times New Roman" w:eastAsia="仿宋"/>
          <w:color w:val="auto"/>
          <w:sz w:val="32"/>
          <w:szCs w:val="32"/>
        </w:rPr>
        <w:t>：</w:t>
      </w:r>
      <w:r>
        <w:rPr>
          <w:rFonts w:hint="eastAsia" w:ascii="Times New Roman" w:hAnsi="Times New Roman" w:eastAsia="仿宋"/>
          <w:color w:val="auto"/>
          <w:sz w:val="32"/>
          <w:szCs w:val="32"/>
          <w:lang w:eastAsia="zh-CN"/>
        </w:rPr>
        <w:t>在现场安装调试完毕，具备通水、通电、通路等检测条件下，检测单位在接到我公司通知后</w:t>
      </w:r>
      <w:r>
        <w:rPr>
          <w:rFonts w:hint="eastAsia" w:ascii="Times New Roman" w:hAnsi="Times New Roman" w:eastAsia="仿宋"/>
          <w:color w:val="auto"/>
          <w:sz w:val="32"/>
          <w:szCs w:val="32"/>
          <w:lang w:val="en-US" w:eastAsia="zh-CN"/>
        </w:rPr>
        <w:t>10</w:t>
      </w:r>
      <w:r>
        <w:rPr>
          <w:rFonts w:hint="eastAsia" w:ascii="Times New Roman" w:hAnsi="Times New Roman" w:eastAsia="仿宋"/>
          <w:color w:val="auto"/>
          <w:sz w:val="32"/>
          <w:szCs w:val="32"/>
          <w:lang w:eastAsia="zh-CN"/>
        </w:rPr>
        <w:t>个工作日内出具经钦州市本地消防主管部门验收备案合格的检测报告</w:t>
      </w:r>
      <w:r>
        <w:rPr>
          <w:rFonts w:hint="eastAsia" w:ascii="Times New Roman" w:hAnsi="Times New Roman" w:eastAsia="仿宋"/>
          <w:color w:val="auto"/>
          <w:sz w:val="32"/>
          <w:szCs w:val="32"/>
          <w:lang w:val="en-US" w:eastAsia="zh-CN"/>
        </w:rPr>
        <w:t xml:space="preserve"> </w:t>
      </w:r>
      <w:r>
        <w:rPr>
          <w:rFonts w:hint="eastAsia" w:ascii="Times New Roman" w:hAnsi="Times New Roman" w:eastAsia="仿宋"/>
          <w:color w:val="auto"/>
          <w:sz w:val="32"/>
          <w:szCs w:val="32"/>
          <w:lang w:eastAsia="zh-CN"/>
        </w:rPr>
        <w:t>8份。</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ascii="Times New Roman" w:hAnsi="Times New Roman" w:eastAsia="仿宋"/>
          <w:color w:val="auto"/>
          <w:sz w:val="32"/>
          <w:szCs w:val="32"/>
        </w:rPr>
      </w:pPr>
      <w:r>
        <w:rPr>
          <w:rFonts w:ascii="Times New Roman" w:hAnsi="仿宋" w:eastAsia="仿宋"/>
          <w:color w:val="auto"/>
          <w:sz w:val="32"/>
          <w:szCs w:val="32"/>
        </w:rPr>
        <w:t>（</w:t>
      </w:r>
      <w:r>
        <w:rPr>
          <w:rFonts w:hint="eastAsia" w:ascii="Times New Roman" w:hAnsi="仿宋" w:eastAsia="仿宋"/>
          <w:color w:val="auto"/>
          <w:sz w:val="32"/>
          <w:szCs w:val="32"/>
          <w:lang w:eastAsia="zh-CN"/>
        </w:rPr>
        <w:t>四</w:t>
      </w:r>
      <w:r>
        <w:rPr>
          <w:rFonts w:ascii="Times New Roman" w:hAnsi="仿宋" w:eastAsia="仿宋"/>
          <w:color w:val="auto"/>
          <w:sz w:val="32"/>
          <w:szCs w:val="32"/>
        </w:rPr>
        <w:t>）报价文件资料清单</w:t>
      </w:r>
      <w:r>
        <w:rPr>
          <w:rFonts w:hint="eastAsia" w:ascii="Times New Roman" w:hAnsi="仿宋" w:eastAsia="仿宋"/>
          <w:b/>
          <w:bCs/>
          <w:color w:val="auto"/>
          <w:sz w:val="32"/>
          <w:szCs w:val="32"/>
        </w:rPr>
        <w:t>（以下文件必须提供且均需加盖公章</w:t>
      </w:r>
      <w:r>
        <w:rPr>
          <w:rFonts w:hint="eastAsia" w:ascii="Times New Roman" w:hAnsi="仿宋" w:eastAsia="仿宋"/>
          <w:b/>
          <w:bCs/>
          <w:color w:val="auto"/>
          <w:sz w:val="32"/>
          <w:szCs w:val="32"/>
          <w:lang w:eastAsia="zh-CN"/>
        </w:rPr>
        <w:t>并标注页码</w:t>
      </w:r>
      <w:r>
        <w:rPr>
          <w:rFonts w:hint="eastAsia" w:ascii="Times New Roman" w:hAnsi="仿宋" w:eastAsia="仿宋"/>
          <w:b/>
          <w:bCs/>
          <w:color w:val="auto"/>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目录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第一章、报价人简介；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第二章、</w:t>
      </w:r>
      <w:r>
        <w:rPr>
          <w:rFonts w:hint="eastAsia" w:ascii="Times New Roman" w:hAnsi="仿宋" w:eastAsia="仿宋"/>
          <w:color w:val="auto"/>
          <w:sz w:val="32"/>
          <w:szCs w:val="32"/>
        </w:rPr>
        <w:t>营业执照；资质证书</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eastAsia="zh-CN"/>
        </w:rPr>
        <w:t>第三章、</w:t>
      </w:r>
      <w:r>
        <w:rPr>
          <w:rFonts w:hint="eastAsia" w:ascii="Times New Roman" w:hAnsi="仿宋" w:eastAsia="仿宋"/>
          <w:color w:val="auto"/>
          <w:sz w:val="32"/>
          <w:szCs w:val="32"/>
        </w:rPr>
        <w:t>报价函（</w:t>
      </w:r>
      <w:r>
        <w:rPr>
          <w:rFonts w:hint="eastAsia" w:ascii="Times New Roman" w:hAnsi="仿宋" w:eastAsia="仿宋"/>
          <w:color w:val="auto"/>
          <w:sz w:val="32"/>
          <w:szCs w:val="32"/>
          <w:lang w:eastAsia="zh-CN"/>
        </w:rPr>
        <w:t>注明包干总价</w:t>
      </w:r>
      <w:r>
        <w:rPr>
          <w:rFonts w:hint="eastAsia" w:ascii="Times New Roman" w:hAnsi="仿宋" w:eastAsia="仿宋"/>
          <w:color w:val="auto"/>
          <w:sz w:val="32"/>
          <w:szCs w:val="32"/>
        </w:rPr>
        <w:t>，并附报价单位联系人及联系方式）；</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第四章、企业近三年已完成类似项目一览表（</w:t>
      </w:r>
      <w:r>
        <w:rPr>
          <w:rFonts w:hint="eastAsia" w:ascii="Times New Roman" w:hAnsi="仿宋" w:eastAsia="仿宋"/>
          <w:color w:val="auto"/>
          <w:sz w:val="32"/>
          <w:szCs w:val="32"/>
          <w:lang w:val="en-US" w:eastAsia="zh-CN"/>
        </w:rPr>
        <w:t>近三年内须具有广西区内4万平方米以上房屋建筑消防检测经验，且</w:t>
      </w:r>
      <w:r>
        <w:rPr>
          <w:rFonts w:hint="eastAsia" w:ascii="Times New Roman" w:hAnsi="仿宋" w:eastAsia="仿宋"/>
          <w:color w:val="auto"/>
          <w:sz w:val="32"/>
          <w:szCs w:val="32"/>
          <w:lang w:eastAsia="zh-CN"/>
        </w:rPr>
        <w:t>须附合同证明材料）；</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第五章、服务方案(</w:t>
      </w:r>
      <w:r>
        <w:rPr>
          <w:rFonts w:hint="eastAsia" w:ascii="Times New Roman" w:hAnsi="Times New Roman" w:eastAsia="仿宋"/>
          <w:color w:val="auto"/>
          <w:sz w:val="32"/>
          <w:szCs w:val="32"/>
        </w:rPr>
        <w:t>包含</w:t>
      </w:r>
      <w:r>
        <w:rPr>
          <w:rFonts w:hint="eastAsia" w:ascii="Times New Roman" w:hAnsi="Times New Roman" w:eastAsia="仿宋"/>
          <w:color w:val="auto"/>
          <w:sz w:val="32"/>
          <w:szCs w:val="32"/>
          <w:lang w:eastAsia="zh-CN"/>
        </w:rPr>
        <w:t>消防检测试验前准备、检测试验方法、检测试验过程工作的组织与管理</w:t>
      </w:r>
      <w:r>
        <w:rPr>
          <w:rFonts w:hint="eastAsia" w:ascii="Times New Roman" w:hAnsi="仿宋" w:eastAsia="仿宋"/>
          <w:color w:val="auto"/>
          <w:sz w:val="32"/>
          <w:szCs w:val="32"/>
          <w:lang w:eastAsia="zh-CN"/>
        </w:rPr>
        <w:t>、检测质量保证体系及措施、服务承诺书等）；</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第六章、拟投入本项目人员情况（须附人员相关证书扫描件及近三个月的社保缴纳证明）。</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ascii="黑体" w:hAnsi="黑体" w:eastAsia="黑体"/>
          <w:color w:val="auto"/>
          <w:sz w:val="32"/>
          <w:szCs w:val="32"/>
        </w:rPr>
      </w:pPr>
      <w:r>
        <w:rPr>
          <w:rFonts w:ascii="Times New Roman" w:hAnsi="Times New Roman" w:eastAsia="黑体"/>
          <w:color w:val="auto"/>
          <w:sz w:val="32"/>
          <w:szCs w:val="32"/>
        </w:rPr>
        <w:t> </w:t>
      </w:r>
      <w:r>
        <w:rPr>
          <w:rFonts w:hint="eastAsia" w:ascii="黑体" w:hAnsi="黑体" w:eastAsia="黑体"/>
          <w:color w:val="auto"/>
          <w:sz w:val="32"/>
          <w:szCs w:val="32"/>
        </w:rPr>
        <w:t>四</w:t>
      </w:r>
      <w:r>
        <w:rPr>
          <w:rFonts w:ascii="黑体" w:hAnsi="黑体" w:eastAsia="黑体"/>
          <w:color w:val="auto"/>
          <w:sz w:val="32"/>
          <w:szCs w:val="32"/>
        </w:rPr>
        <w:t>、评审规则</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ascii="Times New Roman" w:hAnsi="Times New Roman" w:eastAsia="仿宋"/>
          <w:color w:val="auto"/>
          <w:sz w:val="32"/>
          <w:szCs w:val="32"/>
        </w:rPr>
      </w:pPr>
      <w:r>
        <w:rPr>
          <w:rFonts w:ascii="Times New Roman" w:hAnsi="仿宋" w:eastAsia="仿宋"/>
          <w:color w:val="auto"/>
          <w:sz w:val="32"/>
          <w:szCs w:val="32"/>
        </w:rPr>
        <w:t>（一）我公司将结合报价单位的资质条件、业绩及报价等因素，综合择优选定本项目的中选单位。</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ascii="Times New Roman" w:hAnsi="Times New Roman" w:eastAsia="仿宋"/>
          <w:color w:val="auto"/>
          <w:sz w:val="32"/>
          <w:szCs w:val="32"/>
        </w:rPr>
      </w:pPr>
      <w:r>
        <w:rPr>
          <w:rFonts w:ascii="Times New Roman" w:hAnsi="仿宋" w:eastAsia="仿宋"/>
          <w:color w:val="auto"/>
          <w:sz w:val="32"/>
          <w:szCs w:val="32"/>
        </w:rPr>
        <w:t>（二）如出现下列情况之一，报价文件作无效处理</w:t>
      </w:r>
    </w:p>
    <w:p>
      <w:pPr>
        <w:keepNext w:val="0"/>
        <w:keepLines w:val="0"/>
        <w:pageBreakBefore w:val="0"/>
        <w:widowControl w:val="0"/>
        <w:kinsoku/>
        <w:wordWrap/>
        <w:overflowPunct/>
        <w:topLinePunct w:val="0"/>
        <w:autoSpaceDE/>
        <w:autoSpaceDN/>
        <w:bidi w:val="0"/>
        <w:adjustRightInd/>
        <w:snapToGrid/>
        <w:spacing w:beforeLines="0" w:afterLines="0" w:line="520" w:lineRule="exact"/>
        <w:ind w:right="0" w:rightChars="0" w:firstLine="640" w:firstLineChars="200"/>
        <w:jc w:val="both"/>
        <w:textAlignment w:val="auto"/>
        <w:outlineLvl w:val="9"/>
        <w:rPr>
          <w:rFonts w:ascii="Times New Roman" w:hAnsi="Times New Roman" w:eastAsia="仿宋"/>
          <w:color w:val="auto"/>
          <w:sz w:val="32"/>
          <w:szCs w:val="32"/>
        </w:rPr>
      </w:pPr>
      <w:r>
        <w:rPr>
          <w:rFonts w:ascii="Times New Roman" w:hAnsi="Times New Roman" w:eastAsia="仿宋"/>
          <w:color w:val="auto"/>
          <w:sz w:val="32"/>
          <w:szCs w:val="32"/>
        </w:rPr>
        <w:t>    </w:t>
      </w:r>
      <w:r>
        <w:rPr>
          <w:rFonts w:hint="eastAsia" w:ascii="Times New Roman" w:hAnsi="Times New Roman" w:eastAsia="仿宋"/>
          <w:color w:val="auto"/>
          <w:sz w:val="32"/>
          <w:szCs w:val="32"/>
          <w:lang w:val="en-US" w:eastAsia="zh-CN"/>
        </w:rPr>
        <w:t>1</w:t>
      </w:r>
      <w:r>
        <w:rPr>
          <w:rFonts w:ascii="Times New Roman" w:hAnsi="Times New Roman" w:eastAsia="仿宋"/>
          <w:color w:val="auto"/>
          <w:sz w:val="32"/>
          <w:szCs w:val="32"/>
        </w:rPr>
        <w:t>.</w:t>
      </w:r>
      <w:r>
        <w:rPr>
          <w:rFonts w:ascii="Times New Roman" w:hAnsi="仿宋" w:eastAsia="仿宋"/>
          <w:color w:val="auto"/>
          <w:sz w:val="32"/>
          <w:szCs w:val="32"/>
        </w:rPr>
        <w:t>不响应比选文件实质性要求；</w:t>
      </w:r>
    </w:p>
    <w:p>
      <w:pPr>
        <w:keepNext w:val="0"/>
        <w:keepLines w:val="0"/>
        <w:pageBreakBefore w:val="0"/>
        <w:widowControl w:val="0"/>
        <w:kinsoku/>
        <w:wordWrap/>
        <w:overflowPunct/>
        <w:topLinePunct w:val="0"/>
        <w:autoSpaceDE/>
        <w:autoSpaceDN/>
        <w:bidi w:val="0"/>
        <w:adjustRightInd/>
        <w:snapToGrid/>
        <w:spacing w:beforeLines="0" w:afterLines="0" w:line="520" w:lineRule="exact"/>
        <w:ind w:right="0" w:rightChars="0" w:firstLine="960" w:firstLineChars="300"/>
        <w:jc w:val="both"/>
        <w:textAlignment w:val="auto"/>
        <w:outlineLvl w:val="9"/>
        <w:rPr>
          <w:rFonts w:ascii="Times New Roman" w:hAnsi="仿宋" w:eastAsia="仿宋"/>
          <w:color w:val="auto"/>
          <w:sz w:val="32"/>
          <w:szCs w:val="32"/>
        </w:rPr>
      </w:pPr>
      <w:r>
        <w:rPr>
          <w:rFonts w:hint="eastAsia" w:ascii="Times New Roman" w:hAnsi="Times New Roman" w:eastAsia="仿宋"/>
          <w:color w:val="auto"/>
          <w:sz w:val="32"/>
          <w:szCs w:val="32"/>
          <w:lang w:val="en-US" w:eastAsia="zh-CN"/>
        </w:rPr>
        <w:t>2</w:t>
      </w:r>
      <w:r>
        <w:rPr>
          <w:rFonts w:ascii="Times New Roman" w:hAnsi="Times New Roman" w:eastAsia="仿宋"/>
          <w:color w:val="auto"/>
          <w:sz w:val="32"/>
          <w:szCs w:val="32"/>
        </w:rPr>
        <w:t>.</w:t>
      </w:r>
      <w:r>
        <w:rPr>
          <w:rFonts w:ascii="Times New Roman" w:hAnsi="仿宋" w:eastAsia="仿宋"/>
          <w:color w:val="auto"/>
          <w:sz w:val="32"/>
          <w:szCs w:val="32"/>
        </w:rPr>
        <w:t>出现两个或两个以上报价；</w:t>
      </w:r>
    </w:p>
    <w:p>
      <w:pPr>
        <w:keepNext w:val="0"/>
        <w:keepLines w:val="0"/>
        <w:pageBreakBefore w:val="0"/>
        <w:widowControl w:val="0"/>
        <w:kinsoku/>
        <w:wordWrap/>
        <w:overflowPunct/>
        <w:topLinePunct w:val="0"/>
        <w:autoSpaceDE/>
        <w:autoSpaceDN/>
        <w:bidi w:val="0"/>
        <w:adjustRightInd/>
        <w:snapToGrid/>
        <w:spacing w:beforeLines="0" w:afterLines="0" w:line="520" w:lineRule="exact"/>
        <w:ind w:right="0" w:rightChars="0" w:firstLine="960" w:firstLineChars="300"/>
        <w:jc w:val="both"/>
        <w:textAlignment w:val="auto"/>
        <w:outlineLvl w:val="9"/>
        <w:rPr>
          <w:rFonts w:hint="eastAsia" w:ascii="Times New Roman" w:hAnsi="仿宋" w:eastAsia="仿宋"/>
          <w:color w:val="auto"/>
          <w:sz w:val="32"/>
          <w:szCs w:val="32"/>
        </w:rPr>
      </w:pPr>
      <w:r>
        <w:rPr>
          <w:rFonts w:hint="eastAsia" w:ascii="Times New Roman" w:hAnsi="Times New Roman" w:eastAsia="仿宋"/>
          <w:color w:val="auto"/>
          <w:sz w:val="32"/>
          <w:szCs w:val="32"/>
        </w:rPr>
        <w:t>3</w:t>
      </w:r>
      <w:r>
        <w:rPr>
          <w:rFonts w:ascii="Times New Roman" w:hAnsi="Times New Roman" w:eastAsia="仿宋"/>
          <w:color w:val="auto"/>
          <w:sz w:val="32"/>
          <w:szCs w:val="32"/>
        </w:rPr>
        <w:t>.</w:t>
      </w:r>
      <w:r>
        <w:rPr>
          <w:rFonts w:ascii="Times New Roman" w:hAnsi="仿宋" w:eastAsia="仿宋"/>
          <w:color w:val="auto"/>
          <w:sz w:val="32"/>
          <w:szCs w:val="32"/>
        </w:rPr>
        <w:t>报价超出预算控制价的</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4.报价低于控制价80%的；</w:t>
      </w:r>
    </w:p>
    <w:p>
      <w:pPr>
        <w:keepNext w:val="0"/>
        <w:keepLines w:val="0"/>
        <w:pageBreakBefore w:val="0"/>
        <w:widowControl w:val="0"/>
        <w:kinsoku/>
        <w:wordWrap/>
        <w:overflowPunct/>
        <w:topLinePunct w:val="0"/>
        <w:autoSpaceDE/>
        <w:autoSpaceDN/>
        <w:bidi w:val="0"/>
        <w:adjustRightInd/>
        <w:snapToGrid/>
        <w:spacing w:line="52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keepNext w:val="0"/>
        <w:keepLines w:val="0"/>
        <w:pageBreakBefore w:val="0"/>
        <w:widowControl w:val="0"/>
        <w:kinsoku/>
        <w:wordWrap/>
        <w:overflowPunct/>
        <w:topLinePunct w:val="0"/>
        <w:autoSpaceDE/>
        <w:autoSpaceDN/>
        <w:bidi w:val="0"/>
        <w:adjustRightInd/>
        <w:snapToGrid/>
        <w:spacing w:line="52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keepNext w:val="0"/>
        <w:keepLines w:val="0"/>
        <w:pageBreakBefore w:val="0"/>
        <w:widowControl w:val="0"/>
        <w:kinsoku/>
        <w:wordWrap/>
        <w:overflowPunct/>
        <w:topLinePunct w:val="0"/>
        <w:autoSpaceDE/>
        <w:autoSpaceDN/>
        <w:bidi w:val="0"/>
        <w:adjustRightInd/>
        <w:snapToGrid/>
        <w:spacing w:line="52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960" w:firstLineChars="3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w:t>
      </w:r>
      <w:r>
        <w:rPr>
          <w:rFonts w:hint="eastAsia" w:ascii="Times New Roman" w:hAnsi="仿宋" w:eastAsia="仿宋" w:cs="Times New Roman"/>
          <w:color w:val="auto"/>
          <w:sz w:val="32"/>
          <w:szCs w:val="32"/>
          <w:lang w:bidi="ar"/>
        </w:rPr>
        <w:t>资格证明文件不全或不符合比选要求，或</w:t>
      </w:r>
      <w:r>
        <w:rPr>
          <w:rFonts w:hint="eastAsia" w:ascii="Times New Roman" w:hAnsi="仿宋" w:eastAsia="仿宋"/>
          <w:color w:val="auto"/>
          <w:sz w:val="32"/>
          <w:szCs w:val="32"/>
        </w:rPr>
        <w:t>超出经营范围报价的；</w:t>
      </w:r>
    </w:p>
    <w:p>
      <w:pPr>
        <w:keepNext w:val="0"/>
        <w:keepLines w:val="0"/>
        <w:pageBreakBefore w:val="0"/>
        <w:widowControl w:val="0"/>
        <w:kinsoku/>
        <w:wordWrap/>
        <w:overflowPunct/>
        <w:topLinePunct w:val="0"/>
        <w:autoSpaceDE/>
        <w:autoSpaceDN/>
        <w:bidi w:val="0"/>
        <w:adjustRightInd/>
        <w:snapToGrid/>
        <w:spacing w:line="52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9.存在其他不符合比选文件要求的行为</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beforeLines="0" w:afterLines="0" w:line="520" w:lineRule="exact"/>
        <w:textAlignment w:val="auto"/>
        <w:rPr>
          <w:rFonts w:eastAsia="仿宋"/>
          <w:color w:val="auto"/>
          <w:sz w:val="32"/>
          <w:szCs w:val="32"/>
        </w:rPr>
      </w:pPr>
      <w:r>
        <w:rPr>
          <w:rFonts w:hint="eastAsia" w:eastAsia="黑体"/>
          <w:color w:val="auto"/>
          <w:sz w:val="32"/>
          <w:szCs w:val="32"/>
        </w:rPr>
        <w:t xml:space="preserve">    五</w:t>
      </w:r>
      <w:r>
        <w:rPr>
          <w:rFonts w:ascii="Times New Roman" w:hAnsi="Times New Roman" w:eastAsia="黑体"/>
          <w:color w:val="auto"/>
          <w:sz w:val="32"/>
          <w:szCs w:val="32"/>
        </w:rPr>
        <w:t>、评分办法</w:t>
      </w: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eastAsia="仿宋"/>
          <w:color w:val="auto"/>
          <w:sz w:val="32"/>
          <w:szCs w:val="32"/>
        </w:rPr>
      </w:pPr>
      <w:r>
        <w:rPr>
          <w:rFonts w:ascii="Times New Roman" w:hAnsi="Times New Roman" w:eastAsia="仿宋"/>
          <w:color w:val="auto"/>
          <w:sz w:val="32"/>
          <w:szCs w:val="32"/>
        </w:rPr>
        <w:t>本项目评审办法采用综合评分法，评委首先对</w:t>
      </w:r>
      <w:r>
        <w:rPr>
          <w:rFonts w:hint="eastAsia" w:eastAsia="仿宋"/>
          <w:color w:val="auto"/>
          <w:sz w:val="32"/>
          <w:szCs w:val="32"/>
        </w:rPr>
        <w:t>报价</w:t>
      </w:r>
      <w:r>
        <w:rPr>
          <w:rFonts w:ascii="Times New Roman" w:hAnsi="Times New Roman" w:eastAsia="仿宋"/>
          <w:color w:val="auto"/>
          <w:sz w:val="32"/>
          <w:szCs w:val="32"/>
        </w:rPr>
        <w:t>单位进行资格审查，然后对通过资格审查的</w:t>
      </w:r>
      <w:r>
        <w:rPr>
          <w:rFonts w:hint="eastAsia" w:eastAsia="仿宋"/>
          <w:color w:val="auto"/>
          <w:sz w:val="32"/>
          <w:szCs w:val="32"/>
        </w:rPr>
        <w:t>报价</w:t>
      </w:r>
      <w:r>
        <w:rPr>
          <w:rFonts w:ascii="Times New Roman" w:hAnsi="Times New Roman" w:eastAsia="仿宋"/>
          <w:color w:val="auto"/>
          <w:sz w:val="32"/>
          <w:szCs w:val="32"/>
        </w:rPr>
        <w:t>单位的报价、</w:t>
      </w:r>
      <w:r>
        <w:rPr>
          <w:rFonts w:hint="eastAsia" w:ascii="Times New Roman" w:hAnsi="Times New Roman" w:eastAsia="仿宋"/>
          <w:color w:val="auto"/>
          <w:sz w:val="32"/>
          <w:szCs w:val="32"/>
        </w:rPr>
        <w:t>业绩</w:t>
      </w:r>
      <w:r>
        <w:rPr>
          <w:rFonts w:ascii="Times New Roman" w:hAnsi="Times New Roman" w:eastAsia="仿宋"/>
          <w:color w:val="auto"/>
          <w:sz w:val="32"/>
          <w:szCs w:val="32"/>
        </w:rPr>
        <w:t>等方面按百分制进行评分。</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黑体" w:hAnsi="黑体" w:eastAsia="黑体"/>
          <w:color w:val="auto"/>
          <w:sz w:val="32"/>
          <w:szCs w:val="32"/>
          <w:lang w:val="en-US" w:eastAsia="zh-CN"/>
        </w:rPr>
      </w:pPr>
      <w:r>
        <w:rPr>
          <w:rFonts w:hint="eastAsia" w:ascii="Times New Roman" w:hAnsi="仿宋" w:eastAsia="仿宋"/>
          <w:color w:val="auto"/>
          <w:sz w:val="32"/>
          <w:szCs w:val="32"/>
          <w:lang w:val="en-US" w:eastAsia="zh-CN"/>
        </w:rPr>
        <w:t>本检测服务预算控制价为205667.1元</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textAlignment w:val="auto"/>
        <w:rPr>
          <w:rFonts w:ascii="Times New Roman" w:hAnsi="仿宋" w:eastAsia="仿宋"/>
          <w:color w:val="auto"/>
          <w:sz w:val="32"/>
          <w:szCs w:val="32"/>
        </w:rPr>
      </w:pPr>
      <w:r>
        <w:rPr>
          <w:rFonts w:hint="eastAsia" w:ascii="Times New Roman" w:hAnsi="仿宋" w:eastAsia="仿宋"/>
          <w:color w:val="auto"/>
          <w:sz w:val="32"/>
          <w:szCs w:val="32"/>
        </w:rPr>
        <w:t>商务文件（权重60%，满分6分）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仿宋" w:eastAsia="仿宋"/>
          <w:color w:val="auto"/>
          <w:sz w:val="32"/>
          <w:szCs w:val="32"/>
        </w:rPr>
      </w:pPr>
      <w:r>
        <w:rPr>
          <w:rFonts w:hint="eastAsia" w:ascii="Times New Roman" w:hAnsi="仿宋" w:eastAsia="仿宋"/>
          <w:color w:val="auto"/>
          <w:sz w:val="32"/>
          <w:szCs w:val="32"/>
        </w:rPr>
        <w:t>根据价格的高低进行横向对比评审，</w:t>
      </w:r>
      <w:r>
        <w:rPr>
          <w:rFonts w:ascii="Times New Roman" w:hAnsi="仿宋" w:eastAsia="仿宋"/>
          <w:color w:val="auto"/>
          <w:sz w:val="32"/>
          <w:szCs w:val="32"/>
        </w:rPr>
        <w:t>报价超出预算控制价</w:t>
      </w:r>
      <w:r>
        <w:rPr>
          <w:rFonts w:hint="eastAsia" w:ascii="Times New Roman" w:hAnsi="仿宋" w:eastAsia="仿宋"/>
          <w:color w:val="auto"/>
          <w:sz w:val="32"/>
          <w:szCs w:val="32"/>
          <w:lang w:eastAsia="zh-CN"/>
        </w:rPr>
        <w:t>或</w:t>
      </w:r>
      <w:r>
        <w:rPr>
          <w:rFonts w:hint="eastAsia" w:ascii="Times New Roman" w:hAnsi="仿宋" w:eastAsia="仿宋"/>
          <w:color w:val="auto"/>
          <w:sz w:val="32"/>
          <w:szCs w:val="32"/>
        </w:rPr>
        <w:t>低于控制价80%的</w:t>
      </w:r>
      <w:r>
        <w:rPr>
          <w:rFonts w:hint="eastAsia" w:ascii="Times New Roman" w:hAnsi="仿宋" w:eastAsia="仿宋"/>
          <w:color w:val="auto"/>
          <w:sz w:val="32"/>
          <w:szCs w:val="32"/>
          <w:lang w:eastAsia="zh-CN"/>
        </w:rPr>
        <w:t>，均</w:t>
      </w:r>
      <w:r>
        <w:rPr>
          <w:rFonts w:hint="eastAsia" w:ascii="Times New Roman" w:hAnsi="仿宋" w:eastAsia="仿宋"/>
          <w:color w:val="auto"/>
          <w:sz w:val="32"/>
          <w:szCs w:val="32"/>
        </w:rPr>
        <w:t>作无效处理，评审按以下五个档进行：</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
          <w:color w:val="auto"/>
          <w:sz w:val="32"/>
          <w:szCs w:val="32"/>
        </w:rPr>
      </w:pPr>
      <w:r>
        <w:rPr>
          <w:rFonts w:hint="eastAsia" w:ascii="Times New Roman" w:hAnsi="Times New Roman" w:eastAsia="仿宋"/>
          <w:color w:val="auto"/>
          <w:sz w:val="32"/>
          <w:szCs w:val="32"/>
        </w:rPr>
        <w:t>1为不合格（得分为1/5*6）；</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
          <w:color w:val="auto"/>
          <w:sz w:val="32"/>
          <w:szCs w:val="32"/>
        </w:rPr>
      </w:pPr>
      <w:r>
        <w:rPr>
          <w:rFonts w:hint="eastAsia" w:ascii="Times New Roman" w:hAnsi="Times New Roman" w:eastAsia="仿宋"/>
          <w:color w:val="auto"/>
          <w:sz w:val="32"/>
          <w:szCs w:val="32"/>
        </w:rPr>
        <w:t>2为一般（得分为2/5*6）；</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
          <w:color w:val="auto"/>
          <w:sz w:val="32"/>
          <w:szCs w:val="32"/>
        </w:rPr>
      </w:pPr>
      <w:r>
        <w:rPr>
          <w:rFonts w:hint="eastAsia" w:ascii="Times New Roman" w:hAnsi="Times New Roman" w:eastAsia="仿宋"/>
          <w:color w:val="auto"/>
          <w:sz w:val="32"/>
          <w:szCs w:val="32"/>
        </w:rPr>
        <w:t>3为合格（得分为3/5*6）；</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
          <w:color w:val="auto"/>
          <w:sz w:val="32"/>
          <w:szCs w:val="32"/>
        </w:rPr>
      </w:pPr>
      <w:r>
        <w:rPr>
          <w:rFonts w:hint="eastAsia" w:ascii="Times New Roman" w:hAnsi="Times New Roman" w:eastAsia="仿宋"/>
          <w:color w:val="auto"/>
          <w:sz w:val="32"/>
          <w:szCs w:val="32"/>
        </w:rPr>
        <w:t>4为良好（得分为4/5*6）；</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仿宋" w:eastAsia="仿宋"/>
          <w:color w:val="auto"/>
          <w:sz w:val="32"/>
          <w:szCs w:val="32"/>
        </w:rPr>
      </w:pPr>
      <w:r>
        <w:rPr>
          <w:rFonts w:hint="eastAsia" w:ascii="Times New Roman" w:hAnsi="Times New Roman" w:eastAsia="仿宋"/>
          <w:color w:val="auto"/>
          <w:sz w:val="32"/>
          <w:szCs w:val="32"/>
        </w:rPr>
        <w:t>5为优秀（得分为5/5*6）。</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ascii="Times New Roman" w:hAnsi="仿宋" w:eastAsia="仿宋"/>
          <w:color w:val="auto"/>
          <w:sz w:val="32"/>
          <w:szCs w:val="32"/>
        </w:rPr>
      </w:pPr>
      <w:r>
        <w:rPr>
          <w:rFonts w:hint="eastAsia" w:ascii="Times New Roman" w:hAnsi="仿宋" w:eastAsia="仿宋"/>
          <w:color w:val="auto"/>
          <w:sz w:val="32"/>
          <w:szCs w:val="32"/>
        </w:rPr>
        <w:t>技术文件（权重40%，满分4分）</w:t>
      </w:r>
    </w:p>
    <w:p>
      <w:pPr>
        <w:numPr>
          <w:ilvl w:val="0"/>
          <w:numId w:val="0"/>
        </w:numPr>
        <w:spacing w:line="500" w:lineRule="exact"/>
        <w:rPr>
          <w:rFonts w:ascii="Times New Roman" w:hAnsi="仿宋" w:eastAsia="仿宋"/>
          <w:color w:val="auto"/>
          <w:sz w:val="32"/>
          <w:szCs w:val="32"/>
        </w:rPr>
        <w:sectPr>
          <w:headerReference r:id="rId3" w:type="default"/>
          <w:footerReference r:id="rId4" w:type="default"/>
          <w:pgSz w:w="11906" w:h="16838"/>
          <w:pgMar w:top="2268" w:right="1474" w:bottom="2041" w:left="1587" w:header="851" w:footer="992" w:gutter="0"/>
          <w:pgNumType w:fmt="decimal"/>
          <w:cols w:space="0" w:num="1"/>
          <w:rtlGutter w:val="0"/>
          <w:docGrid w:type="lines" w:linePitch="321" w:charSpace="0"/>
        </w:sectPr>
      </w:pPr>
    </w:p>
    <w:tbl>
      <w:tblPr>
        <w:tblStyle w:val="10"/>
        <w:tblW w:w="9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904"/>
        <w:gridCol w:w="1961"/>
        <w:gridCol w:w="2314"/>
        <w:gridCol w:w="3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0" w:hRule="atLeast"/>
        </w:trPr>
        <w:tc>
          <w:tcPr>
            <w:tcW w:w="664"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序号</w:t>
            </w:r>
          </w:p>
        </w:tc>
        <w:tc>
          <w:tcPr>
            <w:tcW w:w="904"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w:t>
            </w:r>
          </w:p>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项目</w:t>
            </w:r>
          </w:p>
        </w:tc>
        <w:tc>
          <w:tcPr>
            <w:tcW w:w="1961"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p>
        </w:tc>
        <w:tc>
          <w:tcPr>
            <w:tcW w:w="2314"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评审依据</w:t>
            </w:r>
          </w:p>
        </w:tc>
        <w:tc>
          <w:tcPr>
            <w:tcW w:w="3330"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0" w:hRule="atLeast"/>
        </w:trPr>
        <w:tc>
          <w:tcPr>
            <w:tcW w:w="664" w:type="dxa"/>
            <w:vAlign w:val="center"/>
          </w:tcPr>
          <w:p>
            <w:pPr>
              <w:numPr>
                <w:ilvl w:val="0"/>
                <w:numId w:val="0"/>
              </w:numPr>
              <w:spacing w:line="36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lang w:eastAsia="zh-CN"/>
              </w:rPr>
              <w:t>1</w:t>
            </w:r>
          </w:p>
        </w:tc>
        <w:tc>
          <w:tcPr>
            <w:tcW w:w="904"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业绩</w:t>
            </w:r>
          </w:p>
        </w:tc>
        <w:tc>
          <w:tcPr>
            <w:tcW w:w="1961"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r>
              <w:rPr>
                <w:rFonts w:hint="eastAsia" w:ascii="仿宋" w:hAnsi="仿宋" w:eastAsia="仿宋" w:cs="仿宋"/>
                <w:color w:val="auto"/>
                <w:sz w:val="32"/>
                <w:szCs w:val="32"/>
                <w:lang w:val="en-US" w:eastAsia="zh-CN"/>
              </w:rPr>
              <w:t>20</w:t>
            </w:r>
            <w:r>
              <w:rPr>
                <w:rFonts w:hint="eastAsia" w:ascii="仿宋" w:hAnsi="仿宋" w:eastAsia="仿宋" w:cs="仿宋"/>
                <w:color w:val="auto"/>
                <w:sz w:val="32"/>
                <w:szCs w:val="32"/>
              </w:rPr>
              <w:t>%</w:t>
            </w:r>
          </w:p>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分</w:t>
            </w:r>
          </w:p>
        </w:tc>
        <w:tc>
          <w:tcPr>
            <w:tcW w:w="2314"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根据所附业绩合同数量、合同金额大小</w:t>
            </w:r>
            <w:r>
              <w:rPr>
                <w:rFonts w:hint="eastAsia" w:ascii="仿宋" w:hAnsi="仿宋" w:eastAsia="仿宋" w:cs="仿宋"/>
                <w:color w:val="auto"/>
                <w:sz w:val="32"/>
                <w:szCs w:val="32"/>
                <w:lang w:eastAsia="zh-CN"/>
              </w:rPr>
              <w:t>、项目规模</w:t>
            </w:r>
            <w:r>
              <w:rPr>
                <w:rFonts w:hint="eastAsia" w:ascii="仿宋" w:hAnsi="仿宋" w:eastAsia="仿宋" w:cs="仿宋"/>
                <w:color w:val="auto"/>
                <w:sz w:val="32"/>
                <w:szCs w:val="32"/>
              </w:rPr>
              <w:t>等方面进行横向对比评审，评审按五个档进行</w:t>
            </w:r>
            <w:bookmarkStart w:id="0" w:name="_GoBack"/>
            <w:bookmarkEnd w:id="0"/>
          </w:p>
        </w:tc>
        <w:tc>
          <w:tcPr>
            <w:tcW w:w="3330" w:type="dxa"/>
            <w:vAlign w:val="center"/>
          </w:tcPr>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（得分为1/5*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（得分为2/5*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（得分为3/5*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（得分为4/5*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（得分为5/5*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0" w:hRule="atLeast"/>
        </w:trPr>
        <w:tc>
          <w:tcPr>
            <w:tcW w:w="664" w:type="dxa"/>
            <w:vAlign w:val="center"/>
          </w:tcPr>
          <w:p>
            <w:pPr>
              <w:numPr>
                <w:ilvl w:val="0"/>
                <w:numId w:val="0"/>
              </w:numPr>
              <w:spacing w:line="36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lang w:eastAsia="zh-CN"/>
              </w:rPr>
              <w:t>2</w:t>
            </w:r>
          </w:p>
        </w:tc>
        <w:tc>
          <w:tcPr>
            <w:tcW w:w="904"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服务</w:t>
            </w:r>
          </w:p>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方案</w:t>
            </w:r>
          </w:p>
        </w:tc>
        <w:tc>
          <w:tcPr>
            <w:tcW w:w="1961"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r>
              <w:rPr>
                <w:rFonts w:hint="eastAsia" w:ascii="仿宋" w:hAnsi="仿宋" w:eastAsia="仿宋" w:cs="仿宋"/>
                <w:color w:val="auto"/>
                <w:sz w:val="32"/>
                <w:szCs w:val="32"/>
                <w:lang w:val="en-US" w:eastAsia="zh-CN"/>
              </w:rPr>
              <w:t>10</w:t>
            </w:r>
            <w:r>
              <w:rPr>
                <w:rFonts w:hint="eastAsia" w:ascii="仿宋" w:hAnsi="仿宋" w:eastAsia="仿宋" w:cs="仿宋"/>
                <w:color w:val="auto"/>
                <w:sz w:val="32"/>
                <w:szCs w:val="32"/>
              </w:rPr>
              <w:t>%</w:t>
            </w:r>
          </w:p>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满分1分</w:t>
            </w:r>
          </w:p>
        </w:tc>
        <w:tc>
          <w:tcPr>
            <w:tcW w:w="2314"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w:t>
            </w:r>
            <w:r>
              <w:rPr>
                <w:rFonts w:hint="eastAsia" w:ascii="仿宋" w:hAnsi="仿宋" w:eastAsia="仿宋" w:cs="仿宋"/>
                <w:color w:val="auto"/>
                <w:sz w:val="32"/>
                <w:szCs w:val="32"/>
                <w:lang w:eastAsia="zh-CN"/>
              </w:rPr>
              <w:t>检测</w:t>
            </w:r>
            <w:r>
              <w:rPr>
                <w:rFonts w:hint="eastAsia" w:ascii="Times New Roman" w:hAnsi="仿宋" w:eastAsia="仿宋"/>
                <w:color w:val="auto"/>
                <w:sz w:val="32"/>
                <w:szCs w:val="32"/>
                <w:lang w:eastAsia="zh-CN"/>
              </w:rPr>
              <w:t>服务工作组织计划及相关措施</w:t>
            </w:r>
            <w:r>
              <w:rPr>
                <w:rFonts w:hint="eastAsia" w:ascii="仿宋" w:hAnsi="仿宋" w:eastAsia="仿宋" w:cs="仿宋"/>
                <w:color w:val="auto"/>
                <w:sz w:val="32"/>
                <w:szCs w:val="32"/>
              </w:rPr>
              <w:t>是否合理可行、内容是否齐及服务承诺的优劣等方面的内容进行横向对比评审，评审按五个档进行</w:t>
            </w:r>
          </w:p>
        </w:tc>
        <w:tc>
          <w:tcPr>
            <w:tcW w:w="3330" w:type="dxa"/>
            <w:vAlign w:val="center"/>
          </w:tcPr>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（得分为1/5*</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（得分为2/5*</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（得分为3/5*</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（得分为4/5*</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（得分为5/5*</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5" w:hRule="atLeast"/>
        </w:trPr>
        <w:tc>
          <w:tcPr>
            <w:tcW w:w="664" w:type="dxa"/>
            <w:vAlign w:val="center"/>
          </w:tcPr>
          <w:p>
            <w:pPr>
              <w:numPr>
                <w:ilvl w:val="0"/>
                <w:numId w:val="0"/>
              </w:numPr>
              <w:spacing w:line="36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lang w:eastAsia="zh-CN"/>
              </w:rPr>
              <w:t>3</w:t>
            </w:r>
          </w:p>
        </w:tc>
        <w:tc>
          <w:tcPr>
            <w:tcW w:w="904"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人员</w:t>
            </w:r>
          </w:p>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配置</w:t>
            </w:r>
          </w:p>
        </w:tc>
        <w:tc>
          <w:tcPr>
            <w:tcW w:w="1961"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权重10%</w:t>
            </w:r>
          </w:p>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满分1分</w:t>
            </w:r>
          </w:p>
        </w:tc>
        <w:tc>
          <w:tcPr>
            <w:tcW w:w="2314"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根据人员配备的合理性、充足性、人员资格证书等方面进行横向对比评审，评审按五个档进行</w:t>
            </w:r>
          </w:p>
        </w:tc>
        <w:tc>
          <w:tcPr>
            <w:tcW w:w="3330" w:type="dxa"/>
            <w:vAlign w:val="center"/>
          </w:tcPr>
          <w:p>
            <w:pPr>
              <w:numPr>
                <w:ilvl w:val="0"/>
                <w:numId w:val="0"/>
              </w:num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1为不合格</w:t>
            </w:r>
          </w:p>
          <w:p>
            <w:pPr>
              <w:numPr>
                <w:ilvl w:val="0"/>
                <w:numId w:val="0"/>
              </w:num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（得分为1/5*1）；</w:t>
            </w:r>
          </w:p>
          <w:p>
            <w:pPr>
              <w:numPr>
                <w:ilvl w:val="0"/>
                <w:numId w:val="0"/>
              </w:num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2为一般</w:t>
            </w:r>
          </w:p>
          <w:p>
            <w:pPr>
              <w:numPr>
                <w:ilvl w:val="0"/>
                <w:numId w:val="0"/>
              </w:num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（得分为2/5*1）；</w:t>
            </w:r>
          </w:p>
          <w:p>
            <w:pPr>
              <w:numPr>
                <w:ilvl w:val="0"/>
                <w:numId w:val="0"/>
              </w:num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3为合格</w:t>
            </w:r>
          </w:p>
          <w:p>
            <w:pPr>
              <w:numPr>
                <w:ilvl w:val="0"/>
                <w:numId w:val="0"/>
              </w:num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（得分为3/5*1）；</w:t>
            </w:r>
          </w:p>
          <w:p>
            <w:pPr>
              <w:numPr>
                <w:ilvl w:val="0"/>
                <w:numId w:val="0"/>
              </w:num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4为良好</w:t>
            </w:r>
          </w:p>
          <w:p>
            <w:pPr>
              <w:numPr>
                <w:ilvl w:val="0"/>
                <w:numId w:val="0"/>
              </w:num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（得分为4/5*1）；</w:t>
            </w:r>
          </w:p>
          <w:p>
            <w:pPr>
              <w:numPr>
                <w:ilvl w:val="0"/>
                <w:numId w:val="0"/>
              </w:num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5为优秀</w:t>
            </w:r>
          </w:p>
          <w:p>
            <w:pPr>
              <w:numPr>
                <w:ilvl w:val="0"/>
                <w:numId w:val="0"/>
              </w:num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（得分为5/5*1）。</w:t>
            </w:r>
          </w:p>
        </w:tc>
      </w:tr>
    </w:tbl>
    <w:p>
      <w:pPr>
        <w:numPr>
          <w:ilvl w:val="0"/>
          <w:numId w:val="0"/>
        </w:numPr>
        <w:spacing w:line="520" w:lineRule="exact"/>
        <w:ind w:firstLine="640" w:firstLineChars="200"/>
        <w:rPr>
          <w:rFonts w:ascii="Times New Roman" w:hAnsi="仿宋" w:eastAsia="仿宋"/>
          <w:color w:val="auto"/>
          <w:sz w:val="32"/>
          <w:szCs w:val="32"/>
        </w:rPr>
        <w:sectPr>
          <w:footerReference r:id="rId5" w:type="default"/>
          <w:pgSz w:w="11906" w:h="16838"/>
          <w:pgMar w:top="1814" w:right="1361" w:bottom="1814" w:left="1474" w:header="851" w:footer="992" w:gutter="0"/>
          <w:pgNumType w:fmt="decimal"/>
          <w:cols w:space="720" w:num="1"/>
          <w:docGrid w:type="lines" w:linePitch="321" w:charSpace="0"/>
        </w:sectPr>
      </w:pPr>
    </w:p>
    <w:p>
      <w:pPr>
        <w:spacing w:beforeLines="0" w:afterLines="0" w:line="570" w:lineRule="exact"/>
        <w:rPr>
          <w:rFonts w:eastAsia="黑体"/>
          <w:bCs/>
          <w:color w:val="auto"/>
          <w:sz w:val="32"/>
          <w:szCs w:val="32"/>
          <w:shd w:val="clear" w:color="auto" w:fill="FFFFFF"/>
        </w:rPr>
      </w:pPr>
      <w:r>
        <w:rPr>
          <w:rFonts w:hint="eastAsia" w:eastAsia="黑体"/>
          <w:bCs/>
          <w:color w:val="auto"/>
          <w:sz w:val="32"/>
          <w:szCs w:val="32"/>
          <w:shd w:val="clear" w:color="auto" w:fill="FFFFFF"/>
        </w:rPr>
        <w:t xml:space="preserve">    六</w:t>
      </w:r>
      <w:r>
        <w:rPr>
          <w:rFonts w:ascii="Times New Roman" w:hAnsi="Times New Roman" w:eastAsia="黑体"/>
          <w:bCs/>
          <w:color w:val="auto"/>
          <w:sz w:val="32"/>
          <w:szCs w:val="32"/>
          <w:shd w:val="clear" w:color="auto" w:fill="FFFFFF"/>
        </w:rPr>
        <w:t>、中选候选人推荐原则</w:t>
      </w:r>
    </w:p>
    <w:p>
      <w:pPr>
        <w:spacing w:beforeLines="0" w:afterLines="0" w:line="570" w:lineRule="exact"/>
        <w:ind w:firstLine="640" w:firstLineChars="200"/>
        <w:rPr>
          <w:rFonts w:ascii="Times New Roman" w:hAnsi="Times New Roman" w:eastAsia="仿宋"/>
          <w:color w:val="auto"/>
          <w:sz w:val="32"/>
          <w:szCs w:val="32"/>
        </w:rPr>
      </w:pPr>
      <w:r>
        <w:rPr>
          <w:rFonts w:ascii="Times New Roman" w:hAnsi="Times New Roman" w:eastAsia="仿宋"/>
          <w:color w:val="auto"/>
          <w:sz w:val="32"/>
          <w:szCs w:val="32"/>
        </w:rPr>
        <w:t>我公司招采办按照</w:t>
      </w:r>
      <w:r>
        <w:rPr>
          <w:rFonts w:hint="eastAsia" w:eastAsia="仿宋"/>
          <w:color w:val="auto"/>
          <w:sz w:val="32"/>
          <w:szCs w:val="32"/>
        </w:rPr>
        <w:t>比选公告</w:t>
      </w:r>
      <w:r>
        <w:rPr>
          <w:rFonts w:ascii="Times New Roman" w:hAnsi="Times New Roman" w:eastAsia="仿宋"/>
          <w:color w:val="auto"/>
          <w:sz w:val="32"/>
          <w:szCs w:val="32"/>
        </w:rPr>
        <w:t>的要求，写出评审报告，拟定综合评分表。评审表标明</w:t>
      </w:r>
      <w:r>
        <w:rPr>
          <w:rFonts w:hint="eastAsia" w:eastAsia="仿宋"/>
          <w:color w:val="auto"/>
          <w:sz w:val="32"/>
          <w:szCs w:val="32"/>
        </w:rPr>
        <w:t>报价</w:t>
      </w:r>
      <w:r>
        <w:rPr>
          <w:rFonts w:ascii="Times New Roman" w:hAnsi="Times New Roman" w:eastAsia="仿宋"/>
          <w:color w:val="auto"/>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为中选人。</w:t>
      </w:r>
    </w:p>
    <w:p>
      <w:pPr>
        <w:spacing w:beforeLines="0" w:afterLines="0" w:line="570" w:lineRule="exact"/>
        <w:rPr>
          <w:rFonts w:hint="eastAsia" w:ascii="Times New Roman" w:hAnsi="Times New Roman" w:eastAsia="仿宋"/>
          <w:color w:val="auto"/>
          <w:sz w:val="32"/>
          <w:szCs w:val="32"/>
        </w:rPr>
      </w:pPr>
      <w:r>
        <w:rPr>
          <w:rFonts w:hint="eastAsia" w:ascii="Times New Roman" w:hAnsi="Times New Roman" w:eastAsia="仿宋"/>
          <w:color w:val="auto"/>
          <w:sz w:val="32"/>
          <w:szCs w:val="32"/>
        </w:rPr>
        <w:t xml:space="preserve">    </w:t>
      </w:r>
    </w:p>
    <w:p>
      <w:pPr>
        <w:spacing w:line="560" w:lineRule="exact"/>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eastAsia="zh-CN"/>
        </w:rPr>
        <w:t>附件</w:t>
      </w:r>
      <w:r>
        <w:rPr>
          <w:rFonts w:hint="eastAsia" w:ascii="Times New Roman" w:hAnsi="Times New Roman" w:eastAsia="仿宋"/>
          <w:color w:val="auto"/>
          <w:sz w:val="32"/>
          <w:szCs w:val="32"/>
          <w:lang w:val="en-US" w:eastAsia="zh-CN"/>
        </w:rPr>
        <w:t>1：中国—马来西亚钦州产业园区启动区综合配套设施建设项目二期消防系统检测合同</w:t>
      </w:r>
    </w:p>
    <w:p>
      <w:pPr>
        <w:spacing w:beforeLines="0" w:afterLines="0" w:line="570" w:lineRule="exact"/>
        <w:ind w:firstLine="640" w:firstLineChars="200"/>
        <w:rPr>
          <w:rFonts w:hint="eastAsia" w:ascii="Times New Roman" w:hAnsi="Times New Roman" w:eastAsia="仿宋"/>
          <w:color w:val="auto"/>
          <w:sz w:val="32"/>
          <w:szCs w:val="32"/>
          <w:lang w:val="en-US" w:eastAsia="zh-CN"/>
        </w:rPr>
      </w:pPr>
    </w:p>
    <w:p>
      <w:pPr>
        <w:spacing w:beforeLines="0" w:afterLines="0" w:line="570" w:lineRule="exact"/>
        <w:rPr>
          <w:rFonts w:ascii="Times New Roman" w:hAnsi="Times New Roman" w:eastAsia="仿宋"/>
          <w:color w:val="auto"/>
          <w:sz w:val="32"/>
          <w:szCs w:val="32"/>
        </w:rPr>
      </w:pPr>
    </w:p>
    <w:p>
      <w:pPr>
        <w:spacing w:beforeLines="0" w:afterLines="0" w:line="570" w:lineRule="exact"/>
        <w:rPr>
          <w:rFonts w:ascii="Times New Roman" w:hAnsi="Times New Roman" w:eastAsia="仿宋"/>
          <w:color w:val="auto"/>
          <w:sz w:val="32"/>
          <w:szCs w:val="32"/>
        </w:rPr>
      </w:pPr>
    </w:p>
    <w:p>
      <w:pPr>
        <w:spacing w:beforeLines="0" w:afterLines="0" w:line="570" w:lineRule="exact"/>
        <w:rPr>
          <w:rFonts w:ascii="Times New Roman" w:hAnsi="Times New Roman" w:eastAsia="仿宋"/>
          <w:color w:val="auto"/>
          <w:sz w:val="32"/>
          <w:szCs w:val="32"/>
          <w:u w:val="none"/>
        </w:rPr>
      </w:pPr>
      <w:r>
        <w:rPr>
          <w:rFonts w:hint="eastAsia" w:ascii="Times New Roman" w:hAnsi="Times New Roman" w:eastAsia="仿宋"/>
          <w:color w:val="auto"/>
          <w:sz w:val="32"/>
          <w:szCs w:val="32"/>
        </w:rPr>
        <w:t xml:space="preserve">              </w:t>
      </w:r>
      <w:r>
        <w:rPr>
          <w:rFonts w:hint="eastAsia" w:ascii="Times New Roman" w:hAnsi="Times New Roman" w:eastAsia="仿宋"/>
          <w:color w:val="auto"/>
          <w:sz w:val="32"/>
          <w:szCs w:val="32"/>
          <w:lang w:val="en-US" w:eastAsia="zh-CN"/>
        </w:rPr>
        <w:t xml:space="preserve">     </w:t>
      </w:r>
      <w:r>
        <w:rPr>
          <w:rFonts w:hint="eastAsia" w:ascii="Times New Roman" w:hAnsi="Times New Roman" w:eastAsia="仿宋"/>
          <w:color w:val="auto"/>
          <w:sz w:val="32"/>
          <w:szCs w:val="32"/>
          <w:u w:val="none"/>
          <w:lang w:val="en-US" w:eastAsia="zh-CN"/>
        </w:rPr>
        <w:t xml:space="preserve">  广</w:t>
      </w:r>
      <w:r>
        <w:rPr>
          <w:rFonts w:hint="eastAsia" w:ascii="Times New Roman" w:hAnsi="Times New Roman" w:eastAsia="仿宋"/>
          <w:color w:val="auto"/>
          <w:sz w:val="32"/>
          <w:szCs w:val="32"/>
          <w:u w:val="none"/>
        </w:rPr>
        <w:t>西</w:t>
      </w:r>
      <w:r>
        <w:rPr>
          <w:rFonts w:hint="eastAsia" w:ascii="Times New Roman" w:hAnsi="Times New Roman" w:eastAsia="仿宋"/>
          <w:color w:val="auto"/>
          <w:sz w:val="32"/>
          <w:szCs w:val="32"/>
          <w:u w:val="none"/>
          <w:lang w:eastAsia="zh-CN"/>
        </w:rPr>
        <w:t>中马钦州产业园区开发</w:t>
      </w:r>
      <w:r>
        <w:rPr>
          <w:rFonts w:hint="eastAsia" w:ascii="Times New Roman" w:hAnsi="Times New Roman" w:eastAsia="仿宋"/>
          <w:color w:val="auto"/>
          <w:sz w:val="32"/>
          <w:szCs w:val="32"/>
          <w:u w:val="none"/>
        </w:rPr>
        <w:t>有限公司</w:t>
      </w:r>
    </w:p>
    <w:p>
      <w:pPr>
        <w:spacing w:beforeLines="0" w:afterLines="0" w:line="570" w:lineRule="exact"/>
        <w:ind w:firstLine="640" w:firstLineChars="200"/>
        <w:rPr>
          <w:rFonts w:hint="eastAsia" w:ascii="Times New Roman" w:hAnsi="仿宋" w:eastAsia="仿宋"/>
          <w:color w:val="auto"/>
          <w:sz w:val="32"/>
          <w:szCs w:val="32"/>
          <w:u w:val="none"/>
        </w:rPr>
      </w:pPr>
      <w:r>
        <w:rPr>
          <w:rFonts w:ascii="Times New Roman" w:hAnsi="Times New Roman" w:eastAsia="仿宋"/>
          <w:color w:val="auto"/>
          <w:sz w:val="32"/>
          <w:szCs w:val="32"/>
          <w:u w:val="none"/>
        </w:rPr>
        <w:t>                     </w:t>
      </w:r>
      <w:r>
        <w:rPr>
          <w:rFonts w:hint="eastAsia" w:ascii="Times New Roman" w:hAnsi="Times New Roman" w:eastAsia="仿宋"/>
          <w:color w:val="auto"/>
          <w:sz w:val="32"/>
          <w:szCs w:val="32"/>
          <w:u w:val="none"/>
        </w:rPr>
        <w:t xml:space="preserve">         </w:t>
      </w:r>
      <w:r>
        <w:rPr>
          <w:rFonts w:hint="eastAsia" w:ascii="Times New Roman" w:hAnsi="Times New Roman" w:eastAsia="仿宋"/>
          <w:color w:val="auto"/>
          <w:sz w:val="32"/>
          <w:szCs w:val="32"/>
          <w:u w:val="none"/>
          <w:lang w:val="en-US" w:eastAsia="zh-CN"/>
        </w:rPr>
        <w:t xml:space="preserve">    </w:t>
      </w:r>
      <w:r>
        <w:rPr>
          <w:rFonts w:hint="eastAsia" w:ascii="Times New Roman" w:hAnsi="Times New Roman" w:eastAsia="仿宋"/>
          <w:color w:val="auto"/>
          <w:sz w:val="32"/>
          <w:szCs w:val="32"/>
          <w:u w:val="none"/>
        </w:rPr>
        <w:t xml:space="preserve">   </w:t>
      </w:r>
      <w:r>
        <w:rPr>
          <w:rFonts w:ascii="Times New Roman" w:hAnsi="Times New Roman" w:eastAsia="仿宋"/>
          <w:color w:val="auto"/>
          <w:sz w:val="32"/>
          <w:szCs w:val="32"/>
          <w:u w:val="none"/>
        </w:rPr>
        <w:t>201</w:t>
      </w:r>
      <w:r>
        <w:rPr>
          <w:rFonts w:hint="eastAsia" w:ascii="Times New Roman" w:hAnsi="Times New Roman" w:eastAsia="仿宋"/>
          <w:color w:val="auto"/>
          <w:sz w:val="32"/>
          <w:szCs w:val="32"/>
          <w:u w:val="none"/>
          <w:lang w:val="en-US" w:eastAsia="zh-CN"/>
        </w:rPr>
        <w:t>9</w:t>
      </w:r>
      <w:r>
        <w:rPr>
          <w:rFonts w:ascii="Times New Roman" w:hAnsi="仿宋" w:eastAsia="仿宋"/>
          <w:color w:val="auto"/>
          <w:sz w:val="32"/>
          <w:szCs w:val="32"/>
          <w:u w:val="none"/>
        </w:rPr>
        <w:t>年</w:t>
      </w:r>
      <w:r>
        <w:rPr>
          <w:rFonts w:hint="eastAsia" w:ascii="Times New Roman" w:hAnsi="仿宋" w:eastAsia="仿宋"/>
          <w:color w:val="auto"/>
          <w:sz w:val="32"/>
          <w:szCs w:val="32"/>
          <w:u w:val="none"/>
          <w:lang w:val="en-US" w:eastAsia="zh-CN"/>
        </w:rPr>
        <w:t>8</w:t>
      </w:r>
      <w:r>
        <w:rPr>
          <w:rFonts w:ascii="Times New Roman" w:hAnsi="仿宋" w:eastAsia="仿宋"/>
          <w:color w:val="auto"/>
          <w:sz w:val="32"/>
          <w:szCs w:val="32"/>
          <w:u w:val="none"/>
        </w:rPr>
        <w:t>月</w:t>
      </w:r>
      <w:r>
        <w:rPr>
          <w:rFonts w:hint="eastAsia" w:ascii="Times New Roman" w:hAnsi="仿宋" w:eastAsia="仿宋"/>
          <w:color w:val="auto"/>
          <w:sz w:val="32"/>
          <w:szCs w:val="32"/>
          <w:u w:val="none"/>
          <w:lang w:val="en-US" w:eastAsia="zh-CN"/>
        </w:rPr>
        <w:t>6</w:t>
      </w:r>
      <w:r>
        <w:rPr>
          <w:rFonts w:ascii="Times New Roman" w:hAnsi="仿宋" w:eastAsia="仿宋"/>
          <w:color w:val="auto"/>
          <w:sz w:val="32"/>
          <w:szCs w:val="32"/>
          <w:u w:val="none"/>
        </w:rPr>
        <w:t>日</w:t>
      </w:r>
      <w:r>
        <w:rPr>
          <w:rFonts w:hint="eastAsia" w:ascii="Times New Roman" w:hAnsi="仿宋" w:eastAsia="仿宋"/>
          <w:color w:val="auto"/>
          <w:sz w:val="32"/>
          <w:szCs w:val="32"/>
          <w:u w:val="none"/>
        </w:rPr>
        <w:t xml:space="preserve"> </w:t>
      </w:r>
    </w:p>
    <w:p>
      <w:pPr>
        <w:spacing w:line="570" w:lineRule="exact"/>
        <w:ind w:firstLine="0" w:firstLineChars="0"/>
        <w:rPr>
          <w:rFonts w:hint="eastAsia" w:ascii="Times New Roman" w:hAnsi="仿宋" w:eastAsia="仿宋"/>
          <w:color w:val="auto"/>
          <w:sz w:val="32"/>
          <w:szCs w:val="32"/>
          <w:u w:val="single"/>
        </w:rPr>
      </w:pPr>
    </w:p>
    <w:p>
      <w:pPr>
        <w:spacing w:line="570" w:lineRule="exact"/>
        <w:ind w:firstLine="0" w:firstLineChars="0"/>
        <w:rPr>
          <w:rFonts w:hint="eastAsia" w:ascii="Times New Roman" w:hAnsi="仿宋" w:eastAsia="仿宋"/>
          <w:color w:val="auto"/>
          <w:sz w:val="32"/>
          <w:szCs w:val="32"/>
          <w:u w:val="single"/>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Times New Roman" w:hAnsi="仿宋" w:eastAsia="仿宋"/>
          <w:color w:val="auto"/>
          <w:sz w:val="32"/>
          <w:szCs w:val="32"/>
          <w:u w:val="single"/>
          <w:lang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Times New Roman" w:hAnsi="仿宋" w:eastAsia="仿宋"/>
          <w:color w:val="auto"/>
          <w:sz w:val="32"/>
          <w:szCs w:val="32"/>
          <w:u w:val="single"/>
          <w:lang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Times New Roman" w:hAnsi="仿宋" w:eastAsia="仿宋"/>
          <w:color w:val="auto"/>
          <w:sz w:val="32"/>
          <w:szCs w:val="32"/>
          <w:u w:val="single"/>
          <w:lang w:val="en-US" w:eastAsia="zh-CN"/>
        </w:rPr>
      </w:pPr>
      <w:r>
        <w:rPr>
          <w:rFonts w:hint="eastAsia" w:ascii="Times New Roman" w:hAnsi="仿宋" w:eastAsia="仿宋"/>
          <w:color w:val="auto"/>
          <w:sz w:val="32"/>
          <w:szCs w:val="32"/>
          <w:u w:val="single"/>
          <w:lang w:eastAsia="zh-CN"/>
        </w:rPr>
        <w:t>附件</w:t>
      </w:r>
      <w:r>
        <w:rPr>
          <w:rFonts w:hint="eastAsia" w:ascii="Times New Roman" w:hAnsi="仿宋" w:eastAsia="仿宋"/>
          <w:color w:val="auto"/>
          <w:sz w:val="32"/>
          <w:szCs w:val="32"/>
          <w:u w:val="single"/>
          <w:lang w:val="en-US" w:eastAsia="zh-CN"/>
        </w:rPr>
        <w:t>1：</w:t>
      </w:r>
    </w:p>
    <w:p>
      <w:pPr>
        <w:keepNext w:val="0"/>
        <w:keepLines w:val="0"/>
        <w:pageBreakBefore w:val="0"/>
        <w:widowControl w:val="0"/>
        <w:tabs>
          <w:tab w:val="left" w:pos="426"/>
        </w:tabs>
        <w:kinsoku/>
        <w:wordWrap/>
        <w:overflowPunct/>
        <w:topLinePunct w:val="0"/>
        <w:autoSpaceDE/>
        <w:autoSpaceDN/>
        <w:bidi w:val="0"/>
        <w:adjustRightInd/>
        <w:snapToGrid/>
        <w:spacing w:line="510" w:lineRule="exact"/>
        <w:ind w:left="0" w:leftChars="0" w:right="0" w:rightChars="0"/>
        <w:jc w:val="center"/>
        <w:textAlignment w:val="auto"/>
        <w:outlineLvl w:val="9"/>
        <w:rPr>
          <w:rFonts w:hint="eastAsia"/>
          <w:b/>
          <w:bCs/>
          <w:color w:val="auto"/>
          <w:sz w:val="36"/>
          <w:szCs w:val="36"/>
          <w:lang w:eastAsia="zh-CN"/>
        </w:rPr>
      </w:pPr>
      <w:r>
        <w:rPr>
          <w:rFonts w:hint="eastAsia"/>
          <w:b/>
          <w:bCs/>
          <w:color w:val="auto"/>
          <w:sz w:val="36"/>
          <w:szCs w:val="36"/>
          <w:lang w:eastAsia="zh-CN"/>
        </w:rPr>
        <w:t>中国—马来西亚钦州产业园区启动区</w:t>
      </w:r>
    </w:p>
    <w:p>
      <w:pPr>
        <w:keepNext w:val="0"/>
        <w:keepLines w:val="0"/>
        <w:pageBreakBefore w:val="0"/>
        <w:widowControl w:val="0"/>
        <w:tabs>
          <w:tab w:val="left" w:pos="426"/>
        </w:tabs>
        <w:kinsoku/>
        <w:wordWrap/>
        <w:overflowPunct/>
        <w:topLinePunct w:val="0"/>
        <w:autoSpaceDE/>
        <w:autoSpaceDN/>
        <w:bidi w:val="0"/>
        <w:adjustRightInd/>
        <w:snapToGrid/>
        <w:spacing w:line="510" w:lineRule="exact"/>
        <w:ind w:left="0" w:leftChars="0" w:right="0" w:rightChars="0"/>
        <w:jc w:val="center"/>
        <w:textAlignment w:val="auto"/>
        <w:outlineLvl w:val="9"/>
        <w:rPr>
          <w:rFonts w:hint="eastAsia" w:eastAsia="宋体"/>
          <w:b/>
          <w:bCs/>
          <w:color w:val="auto"/>
          <w:sz w:val="36"/>
          <w:szCs w:val="36"/>
          <w:lang w:eastAsia="zh-CN"/>
        </w:rPr>
      </w:pPr>
      <w:r>
        <w:rPr>
          <w:rFonts w:hint="eastAsia"/>
          <w:b/>
          <w:bCs/>
          <w:color w:val="auto"/>
          <w:sz w:val="36"/>
          <w:szCs w:val="36"/>
          <w:lang w:eastAsia="zh-CN"/>
        </w:rPr>
        <w:t>综合配套设施建设项目二期消防系统</w:t>
      </w:r>
      <w:r>
        <w:rPr>
          <w:rFonts w:hint="eastAsia"/>
          <w:b/>
          <w:bCs/>
          <w:color w:val="auto"/>
          <w:sz w:val="36"/>
          <w:szCs w:val="36"/>
        </w:rPr>
        <w:t>检测</w:t>
      </w:r>
      <w:r>
        <w:rPr>
          <w:rFonts w:hint="eastAsia"/>
          <w:b/>
          <w:bCs/>
          <w:color w:val="auto"/>
          <w:sz w:val="36"/>
          <w:szCs w:val="36"/>
          <w:lang w:eastAsia="zh-CN"/>
        </w:rPr>
        <w:t>合同</w:t>
      </w:r>
    </w:p>
    <w:p>
      <w:pPr>
        <w:keepNext w:val="0"/>
        <w:keepLines w:val="0"/>
        <w:pageBreakBefore w:val="0"/>
        <w:widowControl w:val="0"/>
        <w:kinsoku/>
        <w:wordWrap/>
        <w:overflowPunct/>
        <w:topLinePunct w:val="0"/>
        <w:autoSpaceDE/>
        <w:autoSpaceDN/>
        <w:bidi w:val="0"/>
        <w:adjustRightInd/>
        <w:snapToGrid/>
        <w:spacing w:line="510" w:lineRule="exact"/>
        <w:ind w:left="0" w:leftChars="0" w:right="0" w:rightChars="0"/>
        <w:jc w:val="right"/>
        <w:textAlignment w:val="auto"/>
        <w:outlineLvl w:val="9"/>
        <w:rPr>
          <w:rFonts w:hint="eastAsia" w:ascii="黑体" w:hAnsi="黑体" w:eastAsia="黑体" w:cs="黑体"/>
          <w:color w:val="auto"/>
          <w:sz w:val="28"/>
          <w:szCs w:val="28"/>
          <w:u w:val="single"/>
          <w:lang w:val="en-US" w:eastAsia="zh-CN"/>
        </w:rPr>
      </w:pPr>
      <w:r>
        <w:rPr>
          <w:rFonts w:hint="eastAsia"/>
          <w:b/>
          <w:bCs/>
          <w:color w:val="auto"/>
          <w:sz w:val="36"/>
          <w:szCs w:val="36"/>
        </w:rPr>
        <w:t xml:space="preserve">          </w:t>
      </w:r>
      <w:r>
        <w:rPr>
          <w:rFonts w:hint="eastAsia"/>
          <w:bCs/>
          <w:color w:val="auto"/>
          <w:sz w:val="24"/>
          <w:szCs w:val="36"/>
        </w:rPr>
        <w:t xml:space="preserve">     </w:t>
      </w:r>
      <w:r>
        <w:rPr>
          <w:rFonts w:hint="eastAsia"/>
          <w:bCs/>
          <w:color w:val="auto"/>
          <w:sz w:val="24"/>
          <w:szCs w:val="36"/>
          <w:lang w:eastAsia="zh-CN"/>
        </w:rPr>
        <w:t>合同编号：</w:t>
      </w:r>
      <w:r>
        <w:rPr>
          <w:rFonts w:hint="eastAsia" w:ascii="黑体" w:hAnsi="黑体" w:eastAsia="黑体" w:cs="黑体"/>
          <w:color w:val="auto"/>
          <w:sz w:val="28"/>
          <w:szCs w:val="28"/>
          <w:u w:val="single"/>
        </w:rPr>
        <w:t>CMKQW</w:t>
      </w:r>
      <w:r>
        <w:rPr>
          <w:rFonts w:hint="eastAsia" w:ascii="黑体" w:hAnsi="黑体" w:eastAsia="黑体" w:cs="黑体"/>
          <w:color w:val="auto"/>
          <w:sz w:val="28"/>
          <w:szCs w:val="28"/>
          <w:u w:val="single"/>
          <w:lang w:val="en-US" w:eastAsia="zh-CN"/>
        </w:rPr>
        <w:t>FW2019***</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right"/>
        <w:textAlignment w:val="auto"/>
        <w:outlineLvl w:val="9"/>
        <w:rPr>
          <w:rFonts w:hint="eastAsia"/>
          <w:color w:val="auto"/>
          <w:sz w:val="24"/>
        </w:rPr>
      </w:pPr>
      <w:r>
        <w:rPr>
          <w:rFonts w:hint="eastAsia"/>
          <w:bCs/>
          <w:color w:val="auto"/>
          <w:sz w:val="24"/>
          <w:szCs w:val="36"/>
        </w:rPr>
        <w:t xml:space="preserve">                                 </w:t>
      </w:r>
      <w:r>
        <w:rPr>
          <w:rFonts w:hint="eastAsia"/>
          <w:b/>
          <w:bCs/>
          <w:color w:val="auto"/>
          <w:sz w:val="24"/>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textAlignment w:val="auto"/>
        <w:outlineLvl w:val="9"/>
        <w:rPr>
          <w:rFonts w:hint="eastAsia"/>
          <w:color w:val="auto"/>
          <w:sz w:val="24"/>
        </w:rPr>
      </w:pPr>
      <w:r>
        <w:rPr>
          <w:rFonts w:hint="eastAsia"/>
          <w:color w:val="auto"/>
          <w:sz w:val="24"/>
        </w:rPr>
        <w:t>委托单位：</w:t>
      </w:r>
      <w:r>
        <w:rPr>
          <w:rFonts w:hint="eastAsia"/>
          <w:color w:val="auto"/>
          <w:sz w:val="24"/>
          <w:u w:val="single"/>
          <w:lang w:eastAsia="zh-CN"/>
        </w:rPr>
        <w:t>广西孔雀湾投资开发有限公司</w:t>
      </w:r>
      <w:r>
        <w:rPr>
          <w:rFonts w:hint="eastAsia"/>
          <w:color w:val="auto"/>
          <w:sz w:val="24"/>
        </w:rPr>
        <w:t>（以下简称甲方）</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textAlignment w:val="auto"/>
        <w:outlineLvl w:val="9"/>
        <w:rPr>
          <w:rFonts w:hint="eastAsia"/>
          <w:color w:val="auto"/>
          <w:sz w:val="24"/>
        </w:rPr>
      </w:pPr>
      <w:r>
        <w:rPr>
          <w:rFonts w:hint="eastAsia"/>
          <w:color w:val="auto"/>
          <w:sz w:val="24"/>
        </w:rPr>
        <w:t>检测单位：</w:t>
      </w:r>
      <w:r>
        <w:rPr>
          <w:rFonts w:hint="eastAsia"/>
          <w:color w:val="auto"/>
          <w:sz w:val="24"/>
          <w:u w:val="single"/>
        </w:rPr>
        <w:t xml:space="preserve">            </w:t>
      </w:r>
      <w:r>
        <w:rPr>
          <w:rFonts w:hint="eastAsia"/>
          <w:color w:val="auto"/>
          <w:sz w:val="24"/>
          <w:u w:val="single"/>
          <w:lang w:val="en-US" w:eastAsia="zh-CN"/>
        </w:rPr>
        <w:t xml:space="preserve">   </w:t>
      </w:r>
      <w:r>
        <w:rPr>
          <w:rFonts w:hint="eastAsia"/>
          <w:color w:val="auto"/>
          <w:sz w:val="24"/>
          <w:u w:val="single"/>
        </w:rPr>
        <w:t xml:space="preserve"> </w:t>
      </w:r>
      <w:r>
        <w:rPr>
          <w:rFonts w:hint="eastAsia"/>
          <w:color w:val="auto"/>
          <w:sz w:val="24"/>
          <w:u w:val="single"/>
          <w:lang w:val="en-US" w:eastAsia="zh-CN"/>
        </w:rPr>
        <w:t xml:space="preserve">          </w:t>
      </w:r>
      <w:r>
        <w:rPr>
          <w:rFonts w:hint="eastAsia"/>
          <w:color w:val="auto"/>
          <w:sz w:val="24"/>
        </w:rPr>
        <w:t>（以下简称乙方）</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firstLineChars="200"/>
        <w:textAlignment w:val="auto"/>
        <w:outlineLvl w:val="9"/>
        <w:rPr>
          <w:rFonts w:hint="eastAsia"/>
          <w:color w:val="auto"/>
          <w:sz w:val="24"/>
        </w:rPr>
      </w:pPr>
      <w:r>
        <w:rPr>
          <w:rFonts w:hint="eastAsia"/>
          <w:color w:val="auto"/>
          <w:sz w:val="24"/>
        </w:rPr>
        <w:t>为防止和减少隐患酿成的火灾，保障公民人身安全和社会财产安全，根据《中华人民共和国消防法》和《广西壮族自治区消防条例》，中华人民共和国公安部第119号令和第61号令、《广西壮族自治区物价局文件》桂价费2006[208]号、桂价费〔2007〕572号收费标准及广西区内各市、县公安消防机构文件要求，甲方委托乙方</w:t>
      </w:r>
      <w:r>
        <w:rPr>
          <w:rFonts w:hint="eastAsia"/>
          <w:color w:val="auto"/>
          <w:sz w:val="24"/>
          <w:lang w:eastAsia="zh-CN"/>
        </w:rPr>
        <w:t>对中国—马来西亚钦州产业园区启动区综合配套建设项目二期</w:t>
      </w:r>
      <w:r>
        <w:rPr>
          <w:rFonts w:hint="eastAsia"/>
          <w:color w:val="auto"/>
          <w:sz w:val="24"/>
        </w:rPr>
        <w:t>进行建筑消防设施及建筑电气防火安全即时性检测的相关事宜，达成如下约定，双方共同遵守并执行：</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textAlignment w:val="auto"/>
        <w:outlineLvl w:val="9"/>
        <w:rPr>
          <w:rFonts w:hint="eastAsia" w:ascii="宋体" w:hAnsi="宋体" w:eastAsia="宋体" w:cs="宋体"/>
          <w:color w:val="auto"/>
          <w:sz w:val="24"/>
          <w:szCs w:val="24"/>
        </w:rPr>
      </w:pPr>
      <w:r>
        <w:rPr>
          <w:rFonts w:hint="eastAsia"/>
          <w:color w:val="auto"/>
          <w:sz w:val="24"/>
        </w:rPr>
        <w:t xml:space="preserve">   </w:t>
      </w:r>
      <w:r>
        <w:rPr>
          <w:rFonts w:hint="eastAsia"/>
          <w:b/>
          <w:color w:val="auto"/>
          <w:sz w:val="24"/>
        </w:rPr>
        <w:t xml:space="preserve"> 一、检测项目名称</w:t>
      </w:r>
      <w:r>
        <w:rPr>
          <w:rFonts w:hint="eastAsia"/>
          <w:b/>
          <w:color w:val="auto"/>
          <w:sz w:val="24"/>
          <w:lang w:eastAsia="zh-CN"/>
        </w:rPr>
        <w:t>及概况</w:t>
      </w:r>
      <w:r>
        <w:rPr>
          <w:rFonts w:hint="eastAsia"/>
          <w:b/>
          <w:color w:val="auto"/>
          <w:sz w:val="24"/>
        </w:rPr>
        <w:t>：</w:t>
      </w:r>
      <w:r>
        <w:rPr>
          <w:rFonts w:hint="eastAsia" w:ascii="宋体" w:hAnsi="宋体"/>
          <w:color w:val="auto"/>
          <w:sz w:val="24"/>
          <w:u w:val="single"/>
        </w:rPr>
        <w:t>中</w:t>
      </w:r>
      <w:r>
        <w:rPr>
          <w:rFonts w:hint="eastAsia" w:ascii="宋体" w:hAnsi="宋体"/>
          <w:color w:val="auto"/>
          <w:sz w:val="24"/>
          <w:u w:val="single"/>
          <w:lang w:eastAsia="zh-CN"/>
        </w:rPr>
        <w:t>国—</w:t>
      </w:r>
      <w:r>
        <w:rPr>
          <w:rFonts w:hint="eastAsia" w:ascii="宋体" w:hAnsi="宋体"/>
          <w:color w:val="auto"/>
          <w:sz w:val="24"/>
          <w:u w:val="single"/>
        </w:rPr>
        <w:t>马</w:t>
      </w:r>
      <w:r>
        <w:rPr>
          <w:rFonts w:hint="eastAsia" w:ascii="宋体" w:hAnsi="宋体"/>
          <w:color w:val="auto"/>
          <w:sz w:val="24"/>
          <w:u w:val="single"/>
          <w:lang w:eastAsia="zh-CN"/>
        </w:rPr>
        <w:t>来西亚</w:t>
      </w:r>
      <w:r>
        <w:rPr>
          <w:rFonts w:hint="eastAsia" w:ascii="宋体" w:hAnsi="宋体"/>
          <w:color w:val="auto"/>
          <w:sz w:val="24"/>
          <w:u w:val="single"/>
        </w:rPr>
        <w:t>钦州产业园启动区</w:t>
      </w:r>
      <w:r>
        <w:rPr>
          <w:rFonts w:hint="eastAsia" w:ascii="宋体" w:hAnsi="宋体"/>
          <w:color w:val="auto"/>
          <w:sz w:val="24"/>
          <w:u w:val="single"/>
          <w:lang w:eastAsia="zh-CN"/>
        </w:rPr>
        <w:t>综合配套建设项目二期</w:t>
      </w:r>
      <w:r>
        <w:rPr>
          <w:rFonts w:hint="eastAsia" w:ascii="宋体" w:hAnsi="宋体"/>
          <w:color w:val="auto"/>
          <w:sz w:val="24"/>
          <w:u w:val="none"/>
          <w:lang w:eastAsia="zh-CN"/>
        </w:rPr>
        <w:t>。</w:t>
      </w:r>
      <w:r>
        <w:rPr>
          <w:rFonts w:hint="eastAsia" w:ascii="宋体" w:hAnsi="宋体" w:eastAsia="宋体" w:cs="宋体"/>
          <w:color w:val="auto"/>
          <w:sz w:val="24"/>
          <w:szCs w:val="24"/>
          <w:lang w:eastAsia="zh-CN"/>
        </w:rPr>
        <w:t>本工程建设地点位于中马钦州产业园区启动区，总建筑面积约为</w:t>
      </w:r>
      <w:r>
        <w:rPr>
          <w:rFonts w:hint="eastAsia" w:ascii="宋体" w:hAnsi="宋体" w:eastAsia="宋体" w:cs="宋体"/>
          <w:color w:val="auto"/>
          <w:sz w:val="24"/>
          <w:szCs w:val="24"/>
          <w:u w:val="single"/>
          <w:lang w:val="en-US" w:eastAsia="zh-CN"/>
        </w:rPr>
        <w:t xml:space="preserve"> 94507</w:t>
      </w:r>
      <w:r>
        <w:rPr>
          <w:rFonts w:hint="eastAsia" w:ascii="宋体" w:hAnsi="宋体" w:eastAsia="宋体" w:cs="宋体"/>
          <w:color w:val="auto"/>
          <w:sz w:val="24"/>
          <w:szCs w:val="24"/>
          <w:lang w:eastAsia="zh-CN"/>
        </w:rPr>
        <w:t>㎡,为</w:t>
      </w:r>
      <w:r>
        <w:rPr>
          <w:rFonts w:hint="eastAsia" w:ascii="宋体" w:hAnsi="宋体" w:eastAsia="宋体" w:cs="宋体"/>
          <w:color w:val="auto"/>
          <w:sz w:val="24"/>
          <w:szCs w:val="24"/>
          <w:u w:val="single"/>
          <w:lang w:val="en-US" w:eastAsia="zh-CN"/>
        </w:rPr>
        <w:t xml:space="preserve">      </w:t>
      </w:r>
      <w:r>
        <w:rPr>
          <w:rFonts w:hint="eastAsia" w:ascii="宋体" w:hAnsi="宋体" w:cs="宋体"/>
          <w:color w:val="auto"/>
          <w:sz w:val="24"/>
          <w:szCs w:val="24"/>
          <w:u w:val="none"/>
          <w:lang w:val="en-US" w:eastAsia="zh-CN"/>
        </w:rPr>
        <w:t>框剪</w:t>
      </w:r>
      <w:r>
        <w:rPr>
          <w:rFonts w:hint="eastAsia" w:ascii="宋体" w:hAnsi="宋体" w:eastAsia="宋体" w:cs="宋体"/>
          <w:color w:val="auto"/>
          <w:sz w:val="24"/>
          <w:szCs w:val="24"/>
          <w:lang w:eastAsia="zh-CN"/>
        </w:rPr>
        <w:t>结构。</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2" w:firstLineChars="200"/>
        <w:textAlignment w:val="auto"/>
        <w:outlineLvl w:val="9"/>
        <w:rPr>
          <w:rFonts w:hint="eastAsia"/>
          <w:color w:val="auto"/>
          <w:sz w:val="24"/>
          <w:u w:val="single"/>
        </w:rPr>
      </w:pPr>
      <w:r>
        <w:rPr>
          <w:rFonts w:hint="eastAsia"/>
          <w:b/>
          <w:color w:val="auto"/>
          <w:sz w:val="24"/>
        </w:rPr>
        <w:t>二、检测项目地址：</w:t>
      </w:r>
      <w:r>
        <w:rPr>
          <w:rFonts w:hint="eastAsia"/>
          <w:color w:val="auto"/>
          <w:sz w:val="24"/>
          <w:u w:val="single"/>
        </w:rPr>
        <w:t>中马钦州产业园</w:t>
      </w:r>
      <w:r>
        <w:rPr>
          <w:rFonts w:hint="eastAsia"/>
          <w:color w:val="auto"/>
          <w:sz w:val="24"/>
          <w:u w:val="single"/>
          <w:lang w:eastAsia="zh-CN"/>
        </w:rPr>
        <w:t>区启动区。</w:t>
      </w:r>
      <w:r>
        <w:rPr>
          <w:rFonts w:hint="eastAsia"/>
          <w:color w:val="auto"/>
          <w:sz w:val="24"/>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2" w:firstLineChars="200"/>
        <w:textAlignment w:val="auto"/>
        <w:outlineLvl w:val="9"/>
        <w:rPr>
          <w:rFonts w:hint="eastAsia"/>
          <w:color w:val="auto"/>
          <w:sz w:val="24"/>
          <w:u w:val="single"/>
        </w:rPr>
      </w:pPr>
      <w:r>
        <w:rPr>
          <w:rFonts w:hint="eastAsia"/>
          <w:b/>
          <w:color w:val="auto"/>
          <w:sz w:val="24"/>
        </w:rPr>
        <w:t>三、检测项目内容：</w:t>
      </w:r>
      <w:r>
        <w:rPr>
          <w:rFonts w:hint="eastAsia"/>
          <w:color w:val="auto"/>
          <w:sz w:val="24"/>
          <w:u w:val="single"/>
        </w:rPr>
        <w:t>火灾自动报警系统 、消防给水系统、防火卷帘与防火门系统</w:t>
      </w:r>
      <w:r>
        <w:rPr>
          <w:rFonts w:hint="eastAsia"/>
          <w:color w:val="auto"/>
          <w:sz w:val="24"/>
          <w:u w:val="single"/>
          <w:lang w:eastAsia="zh-CN"/>
        </w:rPr>
        <w:t>、</w:t>
      </w:r>
      <w:r>
        <w:rPr>
          <w:rFonts w:hint="eastAsia"/>
          <w:color w:val="auto"/>
          <w:sz w:val="24"/>
          <w:u w:val="single"/>
        </w:rPr>
        <w:t xml:space="preserve"> 通风排烟阻火系统、气体灭火系统、</w:t>
      </w:r>
      <w:r>
        <w:rPr>
          <w:rFonts w:hint="eastAsia"/>
          <w:color w:val="auto"/>
          <w:sz w:val="24"/>
          <w:u w:val="single"/>
          <w:lang w:eastAsia="zh-CN"/>
        </w:rPr>
        <w:t>电源监控系统、</w:t>
      </w:r>
      <w:r>
        <w:rPr>
          <w:rFonts w:hint="eastAsia"/>
          <w:color w:val="auto"/>
          <w:sz w:val="24"/>
          <w:u w:val="single"/>
        </w:rPr>
        <w:t>电气</w:t>
      </w:r>
      <w:r>
        <w:rPr>
          <w:rFonts w:hint="eastAsia"/>
          <w:color w:val="auto"/>
          <w:sz w:val="24"/>
          <w:u w:val="single"/>
          <w:lang w:eastAsia="zh-CN"/>
        </w:rPr>
        <w:t>火灾监控系统、建筑电气</w:t>
      </w:r>
      <w:r>
        <w:rPr>
          <w:rFonts w:hint="eastAsia"/>
          <w:color w:val="auto"/>
          <w:sz w:val="24"/>
          <w:u w:val="single"/>
        </w:rPr>
        <w:t>防火安全检测</w:t>
      </w:r>
      <w:r>
        <w:rPr>
          <w:rFonts w:hint="eastAsia"/>
          <w:color w:val="auto"/>
          <w:sz w:val="24"/>
          <w:u w:val="single"/>
          <w:lang w:eastAsia="zh-CN"/>
        </w:rPr>
        <w:t>等（检测内容包括但不限于以上范围，同时需满足相关规范要求）。</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2" w:firstLineChars="200"/>
        <w:textAlignment w:val="auto"/>
        <w:outlineLvl w:val="9"/>
        <w:rPr>
          <w:rFonts w:hint="eastAsia"/>
          <w:bCs/>
          <w:color w:val="auto"/>
          <w:sz w:val="24"/>
          <w:u w:val="single"/>
        </w:rPr>
      </w:pPr>
      <w:r>
        <w:rPr>
          <w:rFonts w:hint="eastAsia"/>
          <w:b/>
          <w:color w:val="auto"/>
          <w:sz w:val="24"/>
        </w:rPr>
        <w:t>四、项目检测费用（含税）：</w:t>
      </w:r>
      <w:r>
        <w:rPr>
          <w:rFonts w:hint="eastAsia"/>
          <w:bCs/>
          <w:color w:val="auto"/>
          <w:sz w:val="24"/>
          <w:u w:val="single"/>
          <w:lang w:eastAsia="zh-CN"/>
        </w:rPr>
        <w:t>大写人民币</w:t>
      </w:r>
      <w:r>
        <w:rPr>
          <w:rFonts w:hint="eastAsia"/>
          <w:bCs/>
          <w:color w:val="auto"/>
          <w:sz w:val="24"/>
          <w:u w:val="single"/>
          <w:lang w:val="en-US" w:eastAsia="zh-CN"/>
        </w:rPr>
        <w:t>*****</w:t>
      </w:r>
      <w:r>
        <w:rPr>
          <w:rFonts w:hint="eastAsia" w:ascii="宋体" w:hAnsi="宋体"/>
          <w:bCs/>
          <w:color w:val="auto"/>
          <w:sz w:val="24"/>
          <w:u w:val="single"/>
        </w:rPr>
        <w:t>元整</w:t>
      </w:r>
      <w:r>
        <w:rPr>
          <w:rFonts w:hint="eastAsia"/>
          <w:bCs/>
          <w:color w:val="auto"/>
          <w:sz w:val="22"/>
          <w:szCs w:val="22"/>
          <w:u w:val="single"/>
        </w:rPr>
        <w:t>（</w:t>
      </w:r>
      <w:r>
        <w:rPr>
          <w:rFonts w:hint="eastAsia"/>
          <w:bCs/>
          <w:color w:val="auto"/>
          <w:sz w:val="22"/>
          <w:szCs w:val="22"/>
          <w:u w:val="single"/>
          <w:lang w:eastAsia="zh-CN"/>
        </w:rPr>
        <w:t>小写</w:t>
      </w:r>
      <w:r>
        <w:rPr>
          <w:rFonts w:hint="eastAsia"/>
          <w:bCs/>
          <w:color w:val="auto"/>
          <w:sz w:val="24"/>
          <w:u w:val="single"/>
        </w:rPr>
        <w:t>¥</w:t>
      </w:r>
      <w:r>
        <w:rPr>
          <w:rFonts w:hint="eastAsia"/>
          <w:bCs/>
          <w:color w:val="auto"/>
          <w:sz w:val="24"/>
          <w:u w:val="single"/>
          <w:lang w:val="en-US" w:eastAsia="zh-CN"/>
        </w:rPr>
        <w:t>********元</w:t>
      </w:r>
      <w:r>
        <w:rPr>
          <w:rFonts w:hint="eastAsia"/>
          <w:bCs/>
          <w:color w:val="auto"/>
          <w:sz w:val="22"/>
          <w:szCs w:val="22"/>
          <w:u w:val="single"/>
        </w:rPr>
        <w:t>）</w:t>
      </w:r>
      <w:r>
        <w:rPr>
          <w:rFonts w:hint="eastAsia"/>
          <w:bCs/>
          <w:color w:val="auto"/>
          <w:sz w:val="22"/>
          <w:szCs w:val="22"/>
          <w:u w:val="single"/>
          <w:lang w:eastAsia="zh-CN"/>
        </w:rPr>
        <w:t>。检测费用为一次性包干费用，包含但不限于本合同清单约定的所有检测内容，</w:t>
      </w:r>
      <w:r>
        <w:rPr>
          <w:rFonts w:hint="eastAsia"/>
          <w:color w:val="auto"/>
          <w:sz w:val="24"/>
          <w:u w:val="single"/>
          <w:lang w:eastAsia="zh-CN"/>
        </w:rPr>
        <w:t>同时需满足相关规范要求</w:t>
      </w:r>
      <w:r>
        <w:rPr>
          <w:rFonts w:hint="eastAsia"/>
          <w:bCs/>
          <w:color w:val="auto"/>
          <w:sz w:val="22"/>
          <w:szCs w:val="22"/>
          <w:u w:val="singl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2" w:firstLineChars="200"/>
        <w:textAlignment w:val="auto"/>
        <w:outlineLvl w:val="9"/>
        <w:rPr>
          <w:rFonts w:hint="eastAsia"/>
          <w:b/>
          <w:color w:val="auto"/>
          <w:sz w:val="24"/>
        </w:rPr>
      </w:pPr>
      <w:r>
        <w:rPr>
          <w:rFonts w:hint="eastAsia"/>
          <w:b/>
          <w:color w:val="auto"/>
          <w:sz w:val="24"/>
        </w:rPr>
        <w:t>五、技术要求：</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2" w:firstLineChars="200"/>
        <w:textAlignment w:val="auto"/>
        <w:outlineLvl w:val="9"/>
        <w:rPr>
          <w:rFonts w:hint="eastAsia"/>
          <w:color w:val="auto"/>
          <w:sz w:val="24"/>
        </w:rPr>
      </w:pPr>
      <w:r>
        <w:rPr>
          <w:rFonts w:hint="eastAsia"/>
          <w:b/>
          <w:color w:val="auto"/>
          <w:sz w:val="24"/>
          <w:lang w:val="en-US" w:eastAsia="zh-CN"/>
        </w:rPr>
        <w:t>1、</w:t>
      </w:r>
      <w:r>
        <w:rPr>
          <w:rFonts w:hint="eastAsia"/>
          <w:color w:val="auto"/>
          <w:sz w:val="24"/>
        </w:rPr>
        <w:t>乙方必须依据国家现行有关</w:t>
      </w:r>
      <w:r>
        <w:rPr>
          <w:rFonts w:hint="eastAsia"/>
          <w:color w:val="auto"/>
          <w:sz w:val="24"/>
          <w:lang w:eastAsia="zh-CN"/>
        </w:rPr>
        <w:t>建筑工程消防检测、消防安全、消防管理等方面的</w:t>
      </w:r>
      <w:r>
        <w:rPr>
          <w:rFonts w:hint="eastAsia"/>
          <w:color w:val="auto"/>
          <w:sz w:val="24"/>
        </w:rPr>
        <w:t>规范、标准、规程和广西现行地方标准、规程对甲方委托内容进行如实检测。</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firstLineChars="200"/>
        <w:textAlignment w:val="auto"/>
        <w:outlineLvl w:val="9"/>
        <w:rPr>
          <w:rFonts w:hint="eastAsia" w:eastAsia="宋体"/>
          <w:color w:val="auto"/>
          <w:sz w:val="24"/>
          <w:lang w:eastAsia="zh-CN"/>
        </w:rPr>
      </w:pPr>
      <w:r>
        <w:rPr>
          <w:rFonts w:hint="eastAsia"/>
          <w:color w:val="auto"/>
          <w:sz w:val="24"/>
          <w:lang w:val="en-US" w:eastAsia="zh-CN"/>
        </w:rPr>
        <w:t>2、</w:t>
      </w:r>
      <w:r>
        <w:rPr>
          <w:rFonts w:hint="eastAsia"/>
          <w:color w:val="auto"/>
          <w:sz w:val="24"/>
          <w:lang w:eastAsia="zh-CN"/>
        </w:rPr>
        <w:t>乙方应确保其出具的消防检测报告包含本项目所需要检测的所有内容并符合本项目消防主管部门验收备案要求，如乙方出具的消防检测报告不符合本项目消防主管部门验收备案要求时，乙方应负责免费重新进行检测并重新出具检测报告，直至检测报告符合本项目消防主管部门验收备案要求为止。</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2" w:firstLineChars="200"/>
        <w:textAlignment w:val="auto"/>
        <w:outlineLvl w:val="9"/>
        <w:rPr>
          <w:rFonts w:hint="eastAsia" w:eastAsia="宋体"/>
          <w:color w:val="auto"/>
          <w:sz w:val="24"/>
          <w:lang w:eastAsia="zh-CN"/>
        </w:rPr>
      </w:pPr>
      <w:r>
        <w:rPr>
          <w:rFonts w:hint="eastAsia"/>
          <w:b/>
          <w:color w:val="auto"/>
          <w:sz w:val="24"/>
        </w:rPr>
        <w:t>六、付款方式：</w:t>
      </w:r>
      <w:r>
        <w:rPr>
          <w:rFonts w:hint="eastAsia"/>
          <w:color w:val="auto"/>
          <w:sz w:val="24"/>
        </w:rPr>
        <w:t>甲方</w:t>
      </w:r>
      <w:r>
        <w:rPr>
          <w:rFonts w:hint="eastAsia"/>
          <w:color w:val="auto"/>
          <w:sz w:val="24"/>
          <w:lang w:eastAsia="zh-CN"/>
        </w:rPr>
        <w:t>在</w:t>
      </w:r>
      <w:r>
        <w:rPr>
          <w:rFonts w:hint="eastAsia"/>
          <w:color w:val="auto"/>
          <w:sz w:val="24"/>
        </w:rPr>
        <w:t>收到乙方出具的经</w:t>
      </w:r>
      <w:r>
        <w:rPr>
          <w:rFonts w:hint="eastAsia"/>
          <w:color w:val="auto"/>
          <w:sz w:val="24"/>
          <w:lang w:eastAsia="zh-CN"/>
        </w:rPr>
        <w:t>当地消防主管部门验收备案合格的</w:t>
      </w:r>
      <w:r>
        <w:rPr>
          <w:rFonts w:hint="eastAsia"/>
          <w:color w:val="auto"/>
          <w:sz w:val="24"/>
        </w:rPr>
        <w:t>检测报告、</w:t>
      </w:r>
      <w:r>
        <w:rPr>
          <w:rFonts w:hint="eastAsia"/>
          <w:color w:val="auto"/>
          <w:sz w:val="24"/>
          <w:lang w:eastAsia="zh-CN"/>
        </w:rPr>
        <w:t>全额合法有效</w:t>
      </w:r>
      <w:r>
        <w:rPr>
          <w:rFonts w:hint="eastAsia"/>
          <w:color w:val="auto"/>
          <w:sz w:val="24"/>
        </w:rPr>
        <w:t>检测费用的增值税</w:t>
      </w:r>
      <w:r>
        <w:rPr>
          <w:rFonts w:hint="eastAsia"/>
          <w:color w:val="auto"/>
          <w:sz w:val="24"/>
          <w:lang w:eastAsia="zh-CN"/>
        </w:rPr>
        <w:t>专用</w:t>
      </w:r>
      <w:r>
        <w:rPr>
          <w:rFonts w:hint="eastAsia"/>
          <w:color w:val="auto"/>
          <w:sz w:val="24"/>
        </w:rPr>
        <w:t>发票后</w:t>
      </w:r>
      <w:r>
        <w:rPr>
          <w:rFonts w:hint="eastAsia"/>
          <w:color w:val="auto"/>
          <w:sz w:val="24"/>
          <w:lang w:val="en-US" w:eastAsia="zh-CN"/>
        </w:rPr>
        <w:t>45</w:t>
      </w:r>
      <w:r>
        <w:rPr>
          <w:rFonts w:hint="eastAsia"/>
          <w:color w:val="auto"/>
          <w:sz w:val="24"/>
        </w:rPr>
        <w:t>天</w:t>
      </w:r>
      <w:r>
        <w:rPr>
          <w:rFonts w:hint="eastAsia"/>
          <w:color w:val="auto"/>
          <w:sz w:val="24"/>
          <w:lang w:eastAsia="zh-CN"/>
        </w:rPr>
        <w:t>内支付</w:t>
      </w:r>
      <w:r>
        <w:rPr>
          <w:rFonts w:hint="eastAsia"/>
          <w:color w:val="auto"/>
          <w:sz w:val="24"/>
        </w:rPr>
        <w:t>清检测费</w:t>
      </w:r>
      <w:r>
        <w:rPr>
          <w:rFonts w:hint="eastAsia"/>
          <w:color w:val="auto"/>
          <w:sz w:val="24"/>
          <w:lang w:eastAsia="zh-CN"/>
        </w:rPr>
        <w:t>的</w:t>
      </w:r>
      <w:r>
        <w:rPr>
          <w:rFonts w:hint="eastAsia"/>
          <w:color w:val="auto"/>
          <w:sz w:val="24"/>
          <w:u w:val="single"/>
          <w:lang w:val="en-US" w:eastAsia="zh-CN"/>
        </w:rPr>
        <w:t xml:space="preserve"> 80 %</w:t>
      </w:r>
      <w:r>
        <w:rPr>
          <w:rFonts w:hint="eastAsia"/>
          <w:color w:val="auto"/>
          <w:sz w:val="24"/>
        </w:rPr>
        <w:t>给乙方。</w:t>
      </w:r>
      <w:r>
        <w:rPr>
          <w:rFonts w:hint="eastAsia"/>
          <w:color w:val="auto"/>
          <w:sz w:val="24"/>
          <w:lang w:eastAsia="zh-CN"/>
        </w:rPr>
        <w:t>本项目经消防主管部门通过消防验收合格后</w:t>
      </w:r>
      <w:r>
        <w:rPr>
          <w:rFonts w:hint="eastAsia"/>
          <w:color w:val="auto"/>
          <w:sz w:val="24"/>
          <w:lang w:val="en-US" w:eastAsia="zh-CN"/>
        </w:rPr>
        <w:t>45日内</w:t>
      </w:r>
      <w:r>
        <w:rPr>
          <w:rFonts w:hint="eastAsia"/>
          <w:color w:val="auto"/>
          <w:sz w:val="24"/>
          <w:lang w:eastAsia="zh-CN"/>
        </w:rPr>
        <w:t>一次性付清余款。</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2" w:firstLineChars="200"/>
        <w:textAlignment w:val="auto"/>
        <w:outlineLvl w:val="9"/>
        <w:rPr>
          <w:rFonts w:hint="eastAsia"/>
          <w:color w:val="auto"/>
          <w:sz w:val="24"/>
        </w:rPr>
      </w:pPr>
      <w:r>
        <w:rPr>
          <w:rFonts w:hint="eastAsia"/>
          <w:b/>
          <w:color w:val="auto"/>
          <w:sz w:val="24"/>
        </w:rPr>
        <w:t>七、检测</w:t>
      </w:r>
      <w:r>
        <w:rPr>
          <w:rFonts w:hint="eastAsia"/>
          <w:b/>
          <w:color w:val="auto"/>
          <w:sz w:val="24"/>
          <w:lang w:eastAsia="zh-CN"/>
        </w:rPr>
        <w:t>及出具检测报告</w:t>
      </w:r>
      <w:r>
        <w:rPr>
          <w:rFonts w:hint="eastAsia"/>
          <w:b/>
          <w:color w:val="auto"/>
          <w:sz w:val="24"/>
        </w:rPr>
        <w:t>时间：</w:t>
      </w:r>
      <w:r>
        <w:rPr>
          <w:rFonts w:hint="eastAsia"/>
          <w:color w:val="auto"/>
          <w:sz w:val="24"/>
        </w:rPr>
        <w:t>在现场安装调试完毕，具备通水、通电、通路等检测条件下，乙方在接到甲方通知后</w:t>
      </w:r>
      <w:r>
        <w:rPr>
          <w:rFonts w:hint="eastAsia"/>
          <w:color w:val="auto"/>
          <w:sz w:val="24"/>
          <w:u w:val="single"/>
        </w:rPr>
        <w:t xml:space="preserve"> </w:t>
      </w:r>
      <w:r>
        <w:rPr>
          <w:rFonts w:hint="eastAsia"/>
          <w:color w:val="auto"/>
          <w:sz w:val="24"/>
          <w:u w:val="single"/>
          <w:lang w:val="en-US" w:eastAsia="zh-CN"/>
        </w:rPr>
        <w:t>10</w:t>
      </w:r>
      <w:r>
        <w:rPr>
          <w:rFonts w:hint="eastAsia"/>
          <w:color w:val="auto"/>
          <w:sz w:val="24"/>
          <w:u w:val="single"/>
        </w:rPr>
        <w:t xml:space="preserve"> </w:t>
      </w:r>
      <w:r>
        <w:rPr>
          <w:rFonts w:hint="eastAsia"/>
          <w:color w:val="auto"/>
          <w:sz w:val="24"/>
        </w:rPr>
        <w:t>个工作日内出具经钦州市本地消防主管部门验收备案合格的检测报告 8份</w:t>
      </w:r>
      <w:r>
        <w:rPr>
          <w:rFonts w:hint="eastAsia"/>
          <w:color w:val="auto"/>
          <w:sz w:val="24"/>
          <w:lang w:eastAsia="zh-CN"/>
        </w:rPr>
        <w:t>（如果</w:t>
      </w:r>
      <w:r>
        <w:rPr>
          <w:rFonts w:hint="eastAsia"/>
          <w:color w:val="auto"/>
          <w:sz w:val="24"/>
          <w:lang w:val="en-US" w:eastAsia="zh-CN"/>
        </w:rPr>
        <w:t>8份</w:t>
      </w:r>
      <w:r>
        <w:rPr>
          <w:rFonts w:hint="eastAsia"/>
          <w:color w:val="auto"/>
          <w:sz w:val="24"/>
          <w:lang w:eastAsia="zh-CN"/>
        </w:rPr>
        <w:t>检测报告没能满足甲方使用需求，乙方应无偿补充提供）</w:t>
      </w:r>
      <w:r>
        <w:rPr>
          <w:rFonts w:hint="eastAsia"/>
          <w:color w:val="auto"/>
          <w:sz w:val="24"/>
        </w:rPr>
        <w:t xml:space="preserve">。  </w:t>
      </w:r>
      <w:r>
        <w:rPr>
          <w:rFonts w:hint="eastAsia"/>
          <w:b/>
          <w:color w:val="auto"/>
          <w:sz w:val="24"/>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2" w:firstLineChars="200"/>
        <w:textAlignment w:val="auto"/>
        <w:outlineLvl w:val="9"/>
        <w:rPr>
          <w:rFonts w:hint="eastAsia"/>
          <w:b/>
          <w:color w:val="auto"/>
          <w:sz w:val="24"/>
        </w:rPr>
      </w:pPr>
      <w:r>
        <w:rPr>
          <w:rFonts w:hint="eastAsia"/>
          <w:b/>
          <w:color w:val="auto"/>
          <w:sz w:val="24"/>
          <w:lang w:eastAsia="zh-CN"/>
        </w:rPr>
        <w:t>八</w:t>
      </w:r>
      <w:r>
        <w:rPr>
          <w:rFonts w:hint="eastAsia"/>
          <w:b/>
          <w:color w:val="auto"/>
          <w:sz w:val="24"/>
        </w:rPr>
        <w:t>、</w:t>
      </w:r>
      <w:r>
        <w:rPr>
          <w:rFonts w:hint="eastAsia"/>
          <w:b/>
          <w:color w:val="auto"/>
          <w:sz w:val="24"/>
          <w:lang w:eastAsia="zh-CN"/>
        </w:rPr>
        <w:t>甲方</w:t>
      </w:r>
      <w:r>
        <w:rPr>
          <w:rFonts w:hint="eastAsia"/>
          <w:b/>
          <w:color w:val="auto"/>
          <w:sz w:val="24"/>
        </w:rPr>
        <w:t xml:space="preserve">权利义务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textAlignment w:val="auto"/>
        <w:outlineLvl w:val="9"/>
        <w:rPr>
          <w:rFonts w:hint="eastAsia"/>
          <w:color w:val="auto"/>
          <w:sz w:val="24"/>
        </w:rPr>
      </w:pPr>
      <w:r>
        <w:rPr>
          <w:rFonts w:hint="eastAsia"/>
          <w:color w:val="auto"/>
          <w:sz w:val="24"/>
        </w:rPr>
        <w:t xml:space="preserve">    1、甲方应为乙方派赴现场进行检测的工作人员提供必要的工作方便条件，并派专管人员配合检测人员进行检测，确认检测情况。</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textAlignment w:val="auto"/>
        <w:outlineLvl w:val="9"/>
        <w:rPr>
          <w:rFonts w:hint="eastAsia"/>
          <w:color w:val="auto"/>
          <w:sz w:val="24"/>
        </w:rPr>
      </w:pPr>
      <w:r>
        <w:rPr>
          <w:rFonts w:hint="eastAsia"/>
          <w:color w:val="auto"/>
          <w:sz w:val="24"/>
          <w:lang w:val="en-US" w:eastAsia="zh-CN"/>
        </w:rPr>
        <w:t>2</w:t>
      </w:r>
      <w:r>
        <w:rPr>
          <w:rFonts w:hint="eastAsia"/>
          <w:color w:val="auto"/>
          <w:sz w:val="24"/>
        </w:rPr>
        <w:t>、</w:t>
      </w:r>
      <w:r>
        <w:rPr>
          <w:rFonts w:hint="eastAsia"/>
          <w:color w:val="auto"/>
          <w:sz w:val="24"/>
          <w:lang w:eastAsia="zh-CN"/>
        </w:rPr>
        <w:t>检测报告出具后，甲方如有需要，有权书面提出针对检测报告所提问题进行复检申请，乙方应免费进行复检。</w:t>
      </w:r>
      <w:r>
        <w:rPr>
          <w:rFonts w:hint="eastAsia"/>
          <w:color w:val="auto"/>
          <w:sz w:val="24"/>
        </w:rPr>
        <w:t>甲方复查次数超过一次</w:t>
      </w:r>
      <w:r>
        <w:rPr>
          <w:rFonts w:hint="eastAsia"/>
          <w:color w:val="auto"/>
          <w:sz w:val="24"/>
          <w:lang w:eastAsia="zh-CN"/>
        </w:rPr>
        <w:t>（不含本数）</w:t>
      </w:r>
      <w:r>
        <w:rPr>
          <w:rFonts w:hint="eastAsia"/>
          <w:color w:val="auto"/>
          <w:sz w:val="24"/>
        </w:rPr>
        <w:t>后，乙方将对需检项目收费，按复检项目费用的15%计取。</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textAlignment w:val="auto"/>
        <w:outlineLvl w:val="9"/>
        <w:rPr>
          <w:rFonts w:hint="eastAsia"/>
          <w:color w:val="auto"/>
          <w:sz w:val="24"/>
          <w:lang w:eastAsia="zh-CN"/>
        </w:rPr>
      </w:pPr>
      <w:r>
        <w:rPr>
          <w:rFonts w:hint="eastAsia" w:ascii="Arial" w:hAnsi="Arial" w:eastAsia="仿宋_GB2312" w:cs="Arial"/>
          <w:color w:val="auto"/>
          <w:sz w:val="24"/>
          <w:lang w:val="en-US" w:eastAsia="zh-CN"/>
        </w:rPr>
        <w:t>3、</w:t>
      </w:r>
      <w:r>
        <w:rPr>
          <w:rFonts w:hint="eastAsia"/>
          <w:color w:val="auto"/>
          <w:sz w:val="24"/>
          <w:lang w:eastAsia="zh-CN"/>
        </w:rPr>
        <w:t>甲方在现场检测时，对检测结果有疑问或收到检测报告之日起15天内，对检测报告有异议，有权提出，乙方将按有关规定给予复核。</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2" w:firstLineChars="200"/>
        <w:textAlignment w:val="auto"/>
        <w:outlineLvl w:val="9"/>
        <w:rPr>
          <w:rFonts w:hint="eastAsia"/>
          <w:b/>
          <w:color w:val="auto"/>
          <w:sz w:val="24"/>
          <w:lang w:eastAsia="zh-CN"/>
        </w:rPr>
      </w:pPr>
      <w:r>
        <w:rPr>
          <w:rFonts w:hint="eastAsia"/>
          <w:b/>
          <w:color w:val="auto"/>
          <w:sz w:val="24"/>
          <w:lang w:eastAsia="zh-CN"/>
        </w:rPr>
        <w:t>九</w:t>
      </w:r>
      <w:r>
        <w:rPr>
          <w:rFonts w:hint="eastAsia"/>
          <w:b/>
          <w:color w:val="auto"/>
          <w:sz w:val="24"/>
        </w:rPr>
        <w:t xml:space="preserve">、 </w:t>
      </w:r>
      <w:r>
        <w:rPr>
          <w:rFonts w:hint="eastAsia"/>
          <w:b/>
          <w:color w:val="auto"/>
          <w:sz w:val="24"/>
          <w:lang w:eastAsia="zh-CN"/>
        </w:rPr>
        <w:t>乙方权利义务</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2" w:firstLineChars="200"/>
        <w:textAlignment w:val="auto"/>
        <w:outlineLvl w:val="9"/>
        <w:rPr>
          <w:rFonts w:hint="eastAsia"/>
          <w:color w:val="auto"/>
          <w:sz w:val="24"/>
        </w:rPr>
      </w:pPr>
      <w:r>
        <w:rPr>
          <w:rFonts w:hint="eastAsia"/>
          <w:b/>
          <w:color w:val="auto"/>
          <w:sz w:val="24"/>
          <w:lang w:val="en-US" w:eastAsia="zh-CN"/>
        </w:rPr>
        <w:t>1、</w:t>
      </w:r>
      <w:r>
        <w:rPr>
          <w:rFonts w:hint="eastAsia"/>
          <w:color w:val="auto"/>
          <w:sz w:val="24"/>
          <w:lang w:eastAsia="zh-CN"/>
        </w:rPr>
        <w:t>乙</w:t>
      </w:r>
      <w:r>
        <w:rPr>
          <w:rFonts w:hint="eastAsia"/>
          <w:color w:val="auto"/>
          <w:sz w:val="24"/>
        </w:rPr>
        <w:t>方应保护</w:t>
      </w:r>
      <w:r>
        <w:rPr>
          <w:rFonts w:hint="eastAsia"/>
          <w:color w:val="auto"/>
          <w:sz w:val="24"/>
          <w:lang w:eastAsia="zh-CN"/>
        </w:rPr>
        <w:t>甲</w:t>
      </w:r>
      <w:r>
        <w:rPr>
          <w:rFonts w:hint="eastAsia"/>
          <w:color w:val="auto"/>
          <w:sz w:val="24"/>
        </w:rPr>
        <w:t>方的知识产权，保守对方的商业机密，未经对方同意，不得将对方交付的检测资料及文件进行修改、复制、转让等有损对方利益的行为，不得泄露获知对方的商业机密。</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textAlignment w:val="auto"/>
        <w:outlineLvl w:val="9"/>
        <w:rPr>
          <w:rFonts w:hint="eastAsia"/>
          <w:color w:val="auto"/>
          <w:sz w:val="24"/>
          <w:lang w:val="en-US" w:eastAsia="zh-CN"/>
        </w:rPr>
      </w:pPr>
      <w:r>
        <w:rPr>
          <w:rFonts w:hint="eastAsia"/>
          <w:color w:val="auto"/>
          <w:sz w:val="24"/>
          <w:lang w:val="en-US" w:eastAsia="zh-CN"/>
        </w:rPr>
        <w:t>2、乙方在检测过程中发生的一切安全事故，均由乙方自行负责，与甲方无关。</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textAlignment w:val="auto"/>
        <w:outlineLvl w:val="9"/>
        <w:rPr>
          <w:rFonts w:hint="default"/>
          <w:color w:val="auto"/>
          <w:sz w:val="24"/>
          <w:lang w:val="en-US" w:eastAsia="zh-CN"/>
        </w:rPr>
      </w:pPr>
      <w:r>
        <w:rPr>
          <w:rFonts w:hint="eastAsia"/>
          <w:color w:val="auto"/>
          <w:sz w:val="24"/>
          <w:lang w:val="en-US" w:eastAsia="zh-CN"/>
        </w:rPr>
        <w:t>3、</w:t>
      </w:r>
      <w:r>
        <w:rPr>
          <w:rFonts w:hint="eastAsia"/>
          <w:color w:val="auto"/>
          <w:sz w:val="24"/>
          <w:lang w:eastAsia="zh-CN"/>
        </w:rPr>
        <w:t>检测报告出具后，甲方如有需要，有权书面提出针对检测报告所提问题进行复检申请，乙方应免费进行复检。</w:t>
      </w:r>
      <w:r>
        <w:rPr>
          <w:rFonts w:hint="eastAsia"/>
          <w:color w:val="auto"/>
          <w:sz w:val="24"/>
        </w:rPr>
        <w:t>甲方复查次数超过一次</w:t>
      </w:r>
      <w:r>
        <w:rPr>
          <w:rFonts w:hint="eastAsia"/>
          <w:color w:val="auto"/>
          <w:sz w:val="24"/>
          <w:lang w:eastAsia="zh-CN"/>
        </w:rPr>
        <w:t>（不含本数）</w:t>
      </w:r>
      <w:r>
        <w:rPr>
          <w:rFonts w:hint="eastAsia"/>
          <w:color w:val="auto"/>
          <w:sz w:val="24"/>
        </w:rPr>
        <w:t>后，乙方将对需检项目收费，按复检项目费用的15%计取。</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2" w:firstLineChars="200"/>
        <w:textAlignment w:val="auto"/>
        <w:outlineLvl w:val="9"/>
        <w:rPr>
          <w:rFonts w:hint="eastAsia"/>
          <w:b/>
          <w:color w:val="auto"/>
          <w:sz w:val="24"/>
        </w:rPr>
      </w:pPr>
      <w:r>
        <w:rPr>
          <w:rFonts w:hint="eastAsia"/>
          <w:b/>
          <w:color w:val="auto"/>
          <w:sz w:val="24"/>
          <w:lang w:eastAsia="zh-CN"/>
        </w:rPr>
        <w:t>十、</w:t>
      </w:r>
      <w:r>
        <w:rPr>
          <w:rFonts w:hint="eastAsia"/>
          <w:b/>
          <w:color w:val="auto"/>
          <w:sz w:val="24"/>
        </w:rPr>
        <w:t>违约责任</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textAlignment w:val="auto"/>
        <w:outlineLvl w:val="9"/>
        <w:rPr>
          <w:rFonts w:hint="eastAsia"/>
          <w:color w:val="auto"/>
          <w:sz w:val="24"/>
        </w:rPr>
      </w:pPr>
      <w:r>
        <w:rPr>
          <w:rFonts w:hint="eastAsia"/>
          <w:color w:val="auto"/>
          <w:sz w:val="24"/>
        </w:rPr>
        <w:t xml:space="preserve">    1、本</w:t>
      </w:r>
      <w:r>
        <w:rPr>
          <w:rFonts w:hint="eastAsia"/>
          <w:color w:val="auto"/>
          <w:sz w:val="24"/>
          <w:lang w:eastAsia="zh-CN"/>
        </w:rPr>
        <w:t>合同</w:t>
      </w:r>
      <w:r>
        <w:rPr>
          <w:rFonts w:hint="eastAsia"/>
          <w:color w:val="auto"/>
          <w:sz w:val="24"/>
        </w:rPr>
        <w:t>签订生效后，如甲方原因要求终止或解除本</w:t>
      </w:r>
      <w:r>
        <w:rPr>
          <w:rFonts w:hint="eastAsia"/>
          <w:color w:val="auto"/>
          <w:sz w:val="24"/>
          <w:lang w:eastAsia="zh-CN"/>
        </w:rPr>
        <w:t>合同</w:t>
      </w:r>
      <w:r>
        <w:rPr>
          <w:rFonts w:hint="eastAsia"/>
          <w:color w:val="auto"/>
          <w:sz w:val="24"/>
        </w:rPr>
        <w:t>时，应书面通知乙方，并按照检测费的30%</w:t>
      </w:r>
      <w:r>
        <w:rPr>
          <w:rFonts w:hint="eastAsia"/>
          <w:color w:val="auto"/>
          <w:sz w:val="24"/>
          <w:lang w:eastAsia="zh-CN"/>
        </w:rPr>
        <w:t>向乙方</w:t>
      </w:r>
      <w:r>
        <w:rPr>
          <w:rFonts w:hint="eastAsia"/>
          <w:color w:val="auto"/>
          <w:sz w:val="24"/>
        </w:rPr>
        <w:t>支付违约金。如乙方原因造成检测工作无法进行时，</w:t>
      </w:r>
      <w:r>
        <w:rPr>
          <w:rFonts w:hint="eastAsia"/>
          <w:color w:val="auto"/>
          <w:sz w:val="24"/>
          <w:lang w:eastAsia="zh-CN"/>
        </w:rPr>
        <w:t>应书面通知甲方，并按全额检测费用的</w:t>
      </w:r>
      <w:r>
        <w:rPr>
          <w:rFonts w:hint="eastAsia"/>
          <w:color w:val="auto"/>
          <w:sz w:val="24"/>
          <w:lang w:val="en-US" w:eastAsia="zh-CN"/>
        </w:rPr>
        <w:t>30%向甲方支付违约金</w:t>
      </w:r>
      <w:r>
        <w:rPr>
          <w:rFonts w:hint="eastAsia"/>
          <w:color w:val="auto"/>
          <w:sz w:val="24"/>
        </w:rPr>
        <w:t>。</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textAlignment w:val="auto"/>
        <w:outlineLvl w:val="9"/>
        <w:rPr>
          <w:rFonts w:hint="eastAsia"/>
          <w:color w:val="auto"/>
          <w:sz w:val="24"/>
        </w:rPr>
      </w:pPr>
      <w:r>
        <w:rPr>
          <w:rFonts w:hint="eastAsia"/>
          <w:color w:val="auto"/>
          <w:sz w:val="24"/>
        </w:rPr>
        <w:t xml:space="preserve">    2、本</w:t>
      </w:r>
      <w:r>
        <w:rPr>
          <w:rFonts w:hint="eastAsia"/>
          <w:color w:val="auto"/>
          <w:sz w:val="24"/>
          <w:lang w:eastAsia="zh-CN"/>
        </w:rPr>
        <w:t>合同</w:t>
      </w:r>
      <w:r>
        <w:rPr>
          <w:rFonts w:hint="eastAsia"/>
          <w:color w:val="auto"/>
          <w:sz w:val="24"/>
        </w:rPr>
        <w:t>签订生效后，乙方要求终止或解除</w:t>
      </w:r>
      <w:r>
        <w:rPr>
          <w:rFonts w:hint="eastAsia"/>
          <w:color w:val="auto"/>
          <w:sz w:val="24"/>
          <w:lang w:eastAsia="zh-CN"/>
        </w:rPr>
        <w:t>本合同</w:t>
      </w:r>
      <w:r>
        <w:rPr>
          <w:rFonts w:hint="eastAsia"/>
          <w:color w:val="auto"/>
          <w:sz w:val="24"/>
        </w:rPr>
        <w:t>，应书面通知甲方，三个工作日内</w:t>
      </w:r>
      <w:r>
        <w:rPr>
          <w:rFonts w:hint="eastAsia"/>
          <w:color w:val="auto"/>
          <w:sz w:val="24"/>
          <w:lang w:eastAsia="zh-CN"/>
        </w:rPr>
        <w:t>按检测费的</w:t>
      </w:r>
      <w:r>
        <w:rPr>
          <w:rFonts w:hint="eastAsia"/>
          <w:color w:val="auto"/>
          <w:sz w:val="24"/>
          <w:lang w:val="en-US" w:eastAsia="zh-CN"/>
        </w:rPr>
        <w:t>30%向甲方支付违约金</w:t>
      </w:r>
      <w:r>
        <w:rPr>
          <w:rFonts w:hint="eastAsia"/>
          <w:color w:val="auto"/>
          <w:sz w:val="24"/>
        </w:rPr>
        <w:t>。</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textAlignment w:val="auto"/>
        <w:outlineLvl w:val="9"/>
        <w:rPr>
          <w:rFonts w:hint="eastAsia"/>
          <w:color w:val="auto"/>
          <w:sz w:val="24"/>
          <w:lang w:val="en-US" w:eastAsia="zh-CN"/>
        </w:rPr>
      </w:pPr>
      <w:r>
        <w:rPr>
          <w:rFonts w:hint="eastAsia"/>
          <w:color w:val="auto"/>
          <w:sz w:val="24"/>
        </w:rPr>
        <w:t>3、如甲方不按时支付检测费用，每</w:t>
      </w:r>
      <w:r>
        <w:rPr>
          <w:rFonts w:hint="eastAsia"/>
          <w:color w:val="auto"/>
          <w:sz w:val="24"/>
          <w:lang w:eastAsia="zh-CN"/>
        </w:rPr>
        <w:t>逾期</w:t>
      </w:r>
      <w:r>
        <w:rPr>
          <w:rFonts w:hint="eastAsia"/>
          <w:color w:val="auto"/>
          <w:sz w:val="24"/>
        </w:rPr>
        <w:t>一天，甲方</w:t>
      </w:r>
      <w:r>
        <w:rPr>
          <w:rFonts w:hint="eastAsia"/>
          <w:color w:val="auto"/>
          <w:sz w:val="24"/>
          <w:lang w:eastAsia="zh-CN"/>
        </w:rPr>
        <w:t>应按</w:t>
      </w:r>
      <w:r>
        <w:rPr>
          <w:rFonts w:hint="eastAsia"/>
          <w:color w:val="auto"/>
          <w:sz w:val="24"/>
        </w:rPr>
        <w:t>检测费的1</w:t>
      </w:r>
      <w:r>
        <w:rPr>
          <w:rFonts w:ascii="Arial" w:hAnsi="Arial" w:cs="Arial"/>
          <w:color w:val="auto"/>
          <w:sz w:val="24"/>
          <w:shd w:val="clear" w:color="auto" w:fill="FFFFFF"/>
        </w:rPr>
        <w:t>‰</w:t>
      </w:r>
      <w:r>
        <w:rPr>
          <w:rFonts w:hint="eastAsia" w:ascii="Arial" w:hAnsi="Arial" w:cs="Arial"/>
          <w:color w:val="auto"/>
          <w:sz w:val="24"/>
          <w:shd w:val="clear" w:color="auto" w:fill="FFFFFF"/>
          <w:lang w:eastAsia="zh-CN"/>
        </w:rPr>
        <w:t>向乙方支付</w:t>
      </w:r>
      <w:r>
        <w:rPr>
          <w:rFonts w:hint="eastAsia"/>
          <w:color w:val="auto"/>
          <w:sz w:val="24"/>
        </w:rPr>
        <w:t>违约金，违约金总额不超过未付检测费的3%</w:t>
      </w:r>
      <w:r>
        <w:rPr>
          <w:rFonts w:hint="eastAsia"/>
          <w:color w:val="auto"/>
          <w:sz w:val="24"/>
          <w:lang w:eastAsia="zh-CN"/>
        </w:rPr>
        <w:t>。</w:t>
      </w:r>
      <w:r>
        <w:rPr>
          <w:rFonts w:hint="eastAsia"/>
          <w:color w:val="auto"/>
          <w:sz w:val="24"/>
        </w:rPr>
        <w:t>如乙方不按时进行检测或不按时出具</w:t>
      </w:r>
      <w:r>
        <w:rPr>
          <w:rFonts w:hint="eastAsia"/>
          <w:color w:val="auto"/>
          <w:sz w:val="24"/>
          <w:lang w:eastAsia="zh-CN"/>
        </w:rPr>
        <w:t>合格的</w:t>
      </w:r>
      <w:r>
        <w:rPr>
          <w:rFonts w:hint="eastAsia"/>
          <w:color w:val="auto"/>
          <w:sz w:val="24"/>
        </w:rPr>
        <w:t>检测报告，每</w:t>
      </w:r>
      <w:r>
        <w:rPr>
          <w:rFonts w:hint="eastAsia"/>
          <w:color w:val="auto"/>
          <w:sz w:val="24"/>
          <w:lang w:eastAsia="zh-CN"/>
        </w:rPr>
        <w:t>逾期</w:t>
      </w:r>
      <w:r>
        <w:rPr>
          <w:rFonts w:hint="eastAsia"/>
          <w:color w:val="auto"/>
          <w:sz w:val="24"/>
        </w:rPr>
        <w:t>一天，乙方</w:t>
      </w:r>
      <w:r>
        <w:rPr>
          <w:rFonts w:hint="eastAsia"/>
          <w:color w:val="auto"/>
          <w:sz w:val="24"/>
          <w:lang w:eastAsia="zh-CN"/>
        </w:rPr>
        <w:t>应按</w:t>
      </w:r>
      <w:r>
        <w:rPr>
          <w:rFonts w:hint="eastAsia"/>
          <w:color w:val="auto"/>
          <w:sz w:val="24"/>
        </w:rPr>
        <w:t>检测费的1</w:t>
      </w:r>
      <w:r>
        <w:rPr>
          <w:rFonts w:ascii="Arial" w:hAnsi="Arial" w:cs="Arial"/>
          <w:color w:val="auto"/>
          <w:sz w:val="24"/>
          <w:shd w:val="clear" w:color="auto" w:fill="FFFFFF"/>
        </w:rPr>
        <w:t>‰</w:t>
      </w:r>
      <w:r>
        <w:rPr>
          <w:rFonts w:hint="eastAsia" w:ascii="Arial" w:hAnsi="Arial" w:cs="Arial"/>
          <w:color w:val="auto"/>
          <w:sz w:val="24"/>
          <w:shd w:val="clear" w:color="auto" w:fill="FFFFFF"/>
          <w:lang w:eastAsia="zh-CN"/>
        </w:rPr>
        <w:t>向甲方支付</w:t>
      </w:r>
      <w:r>
        <w:rPr>
          <w:rFonts w:hint="eastAsia"/>
          <w:color w:val="auto"/>
          <w:sz w:val="24"/>
        </w:rPr>
        <w:t>违约金</w:t>
      </w:r>
      <w:r>
        <w:rPr>
          <w:rFonts w:hint="eastAsia"/>
          <w:color w:val="auto"/>
          <w:sz w:val="24"/>
          <w:lang w:eastAsia="zh-CN"/>
        </w:rPr>
        <w:t>；逾期超过十五日，甲方有权单方解除本合同，乙方应承担违约责任并按检测费的</w:t>
      </w:r>
      <w:r>
        <w:rPr>
          <w:rFonts w:hint="eastAsia"/>
          <w:color w:val="auto"/>
          <w:sz w:val="24"/>
          <w:lang w:val="en-US" w:eastAsia="zh-CN"/>
        </w:rPr>
        <w:t>30%向甲方支付违约金。</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textAlignment w:val="auto"/>
        <w:outlineLvl w:val="9"/>
        <w:rPr>
          <w:rFonts w:hint="default"/>
          <w:color w:val="auto"/>
          <w:sz w:val="24"/>
          <w:lang w:val="en-US" w:eastAsia="zh-CN"/>
        </w:rPr>
      </w:pPr>
      <w:r>
        <w:rPr>
          <w:rFonts w:hint="eastAsia"/>
          <w:color w:val="auto"/>
          <w:sz w:val="24"/>
          <w:lang w:val="en-US" w:eastAsia="zh-CN"/>
        </w:rPr>
        <w:t>4、乙方报价文件中拟投入本项目的检测工作人员须如实到场，如发现乙方所配备人员与报价文件所附的人员不相符，甲方有权</w:t>
      </w:r>
      <w:r>
        <w:rPr>
          <w:rFonts w:hint="eastAsia"/>
          <w:color w:val="auto"/>
          <w:sz w:val="24"/>
        </w:rPr>
        <w:t>要求终止或解除</w:t>
      </w:r>
      <w:r>
        <w:rPr>
          <w:rFonts w:hint="eastAsia"/>
          <w:color w:val="auto"/>
          <w:sz w:val="24"/>
          <w:lang w:eastAsia="zh-CN"/>
        </w:rPr>
        <w:t>本合同。</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textAlignment w:val="auto"/>
        <w:outlineLvl w:val="9"/>
        <w:rPr>
          <w:rFonts w:hint="eastAsia"/>
          <w:color w:val="auto"/>
          <w:sz w:val="24"/>
        </w:rPr>
      </w:pPr>
      <w:r>
        <w:rPr>
          <w:rFonts w:hint="eastAsia"/>
          <w:color w:val="auto"/>
          <w:sz w:val="24"/>
        </w:rPr>
        <w:t xml:space="preserve">    </w:t>
      </w:r>
      <w:r>
        <w:rPr>
          <w:rFonts w:hint="eastAsia"/>
          <w:color w:val="auto"/>
          <w:sz w:val="24"/>
          <w:lang w:val="en-US" w:eastAsia="zh-CN"/>
        </w:rPr>
        <w:t>5</w:t>
      </w:r>
      <w:r>
        <w:rPr>
          <w:rFonts w:hint="eastAsia"/>
          <w:color w:val="auto"/>
          <w:sz w:val="24"/>
        </w:rPr>
        <w:t>、由于不可抗力因素导致本</w:t>
      </w:r>
      <w:r>
        <w:rPr>
          <w:rFonts w:hint="eastAsia"/>
          <w:color w:val="auto"/>
          <w:sz w:val="24"/>
          <w:lang w:eastAsia="zh-CN"/>
        </w:rPr>
        <w:t>合同</w:t>
      </w:r>
      <w:r>
        <w:rPr>
          <w:rFonts w:hint="eastAsia"/>
          <w:color w:val="auto"/>
          <w:sz w:val="24"/>
        </w:rPr>
        <w:t>延期或无法履行时，甲乙双方应及时协商解决。</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2" w:firstLineChars="200"/>
        <w:textAlignment w:val="auto"/>
        <w:outlineLvl w:val="9"/>
        <w:rPr>
          <w:rFonts w:hint="eastAsia" w:eastAsia="宋体"/>
          <w:color w:val="auto"/>
          <w:sz w:val="24"/>
          <w:lang w:eastAsia="zh-CN"/>
        </w:rPr>
      </w:pPr>
      <w:r>
        <w:rPr>
          <w:rFonts w:hint="eastAsia"/>
          <w:b/>
          <w:color w:val="auto"/>
          <w:sz w:val="24"/>
        </w:rPr>
        <w:t>十</w:t>
      </w:r>
      <w:r>
        <w:rPr>
          <w:rFonts w:hint="eastAsia"/>
          <w:b/>
          <w:color w:val="auto"/>
          <w:sz w:val="24"/>
          <w:lang w:eastAsia="zh-CN"/>
        </w:rPr>
        <w:t>一</w:t>
      </w:r>
      <w:r>
        <w:rPr>
          <w:rFonts w:hint="eastAsia"/>
          <w:b/>
          <w:color w:val="auto"/>
          <w:sz w:val="24"/>
        </w:rPr>
        <w:t>、</w:t>
      </w:r>
      <w:r>
        <w:rPr>
          <w:rFonts w:hint="eastAsia"/>
          <w:color w:val="auto"/>
          <w:sz w:val="24"/>
        </w:rPr>
        <w:t xml:space="preserve"> </w:t>
      </w:r>
      <w:r>
        <w:rPr>
          <w:rFonts w:hint="eastAsia"/>
          <w:color w:val="auto"/>
          <w:sz w:val="24"/>
          <w:lang w:eastAsia="zh-CN"/>
        </w:rPr>
        <w:t>在合同履行过程中发生争议，双方应友好协商解决。如发生纠纷，应向本项目所在地有管辖权的人民法院提起诉讼解决。</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firstLineChars="200"/>
        <w:textAlignment w:val="auto"/>
        <w:outlineLvl w:val="9"/>
        <w:rPr>
          <w:rFonts w:hint="eastAsia"/>
          <w:color w:val="auto"/>
          <w:sz w:val="24"/>
        </w:rPr>
      </w:pPr>
      <w:r>
        <w:rPr>
          <w:rFonts w:hint="eastAsia"/>
          <w:color w:val="auto"/>
          <w:sz w:val="24"/>
          <w:lang w:eastAsia="zh-CN"/>
        </w:rPr>
        <w:t>十二、</w:t>
      </w:r>
      <w:r>
        <w:rPr>
          <w:rFonts w:hint="eastAsia"/>
          <w:color w:val="auto"/>
          <w:sz w:val="24"/>
        </w:rPr>
        <w:t>本</w:t>
      </w:r>
      <w:r>
        <w:rPr>
          <w:rFonts w:hint="eastAsia"/>
          <w:color w:val="auto"/>
          <w:sz w:val="24"/>
          <w:lang w:eastAsia="zh-CN"/>
        </w:rPr>
        <w:t>合同</w:t>
      </w:r>
      <w:r>
        <w:rPr>
          <w:rFonts w:hint="eastAsia"/>
          <w:color w:val="auto"/>
          <w:sz w:val="24"/>
        </w:rPr>
        <w:t>一式陆份，甲方执</w:t>
      </w:r>
      <w:r>
        <w:rPr>
          <w:rFonts w:hint="eastAsia"/>
          <w:color w:val="auto"/>
          <w:sz w:val="24"/>
          <w:lang w:eastAsia="zh-CN"/>
        </w:rPr>
        <w:t>肆</w:t>
      </w:r>
      <w:r>
        <w:rPr>
          <w:rFonts w:hint="eastAsia"/>
          <w:color w:val="auto"/>
          <w:sz w:val="24"/>
        </w:rPr>
        <w:t>份，乙方执</w:t>
      </w:r>
      <w:r>
        <w:rPr>
          <w:rFonts w:hint="eastAsia"/>
          <w:color w:val="auto"/>
          <w:sz w:val="24"/>
          <w:lang w:eastAsia="zh-CN"/>
        </w:rPr>
        <w:t>贰</w:t>
      </w:r>
      <w:r>
        <w:rPr>
          <w:rFonts w:hint="eastAsia"/>
          <w:color w:val="auto"/>
          <w:sz w:val="24"/>
        </w:rPr>
        <w:t>份，自双方法定代表人或委托代理人签字并加盖公章</w:t>
      </w:r>
      <w:r>
        <w:rPr>
          <w:rFonts w:hint="eastAsia"/>
          <w:color w:val="auto"/>
          <w:sz w:val="24"/>
          <w:lang w:eastAsia="zh-CN"/>
        </w:rPr>
        <w:t>或合同专用章</w:t>
      </w:r>
      <w:r>
        <w:rPr>
          <w:rFonts w:hint="eastAsia"/>
          <w:color w:val="auto"/>
          <w:sz w:val="24"/>
        </w:rPr>
        <w:t>之日起生效，双方履行完协议规定的义务后，自行终止。</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textAlignment w:val="auto"/>
        <w:outlineLvl w:val="9"/>
        <w:rPr>
          <w:rFonts w:hint="eastAsia"/>
          <w:color w:val="auto"/>
          <w:sz w:val="24"/>
        </w:rPr>
      </w:pPr>
      <w:r>
        <w:rPr>
          <w:rFonts w:hint="eastAsia"/>
          <w:color w:val="auto"/>
          <w:sz w:val="24"/>
        </w:rPr>
        <w:t>甲方（盖章）：                             乙方（盖章）：</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textAlignment w:val="auto"/>
        <w:outlineLvl w:val="9"/>
        <w:rPr>
          <w:rFonts w:hint="eastAsia"/>
          <w:color w:val="auto"/>
          <w:sz w:val="24"/>
        </w:rPr>
      </w:pPr>
      <w:r>
        <w:rPr>
          <w:rFonts w:hint="eastAsia"/>
          <w:color w:val="auto"/>
          <w:sz w:val="24"/>
          <w:u w:val="none"/>
          <w:lang w:eastAsia="zh-CN"/>
        </w:rPr>
        <w:t>广西孔雀湾投资开发有限公司</w:t>
      </w:r>
      <w:r>
        <w:rPr>
          <w:rFonts w:hint="eastAsia"/>
          <w:color w:val="auto"/>
          <w:sz w:val="24"/>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textAlignment w:val="auto"/>
        <w:outlineLvl w:val="9"/>
        <w:rPr>
          <w:rFonts w:hint="eastAsia"/>
          <w:color w:val="auto"/>
          <w:sz w:val="24"/>
        </w:rPr>
      </w:pPr>
      <w:r>
        <w:rPr>
          <w:rFonts w:hint="eastAsia"/>
          <w:color w:val="auto"/>
          <w:sz w:val="24"/>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textAlignment w:val="auto"/>
        <w:outlineLvl w:val="9"/>
        <w:rPr>
          <w:rFonts w:hint="eastAsia"/>
          <w:color w:val="auto"/>
          <w:sz w:val="24"/>
        </w:rPr>
      </w:pPr>
      <w:r>
        <w:rPr>
          <w:rFonts w:hint="eastAsia"/>
          <w:color w:val="auto"/>
          <w:sz w:val="24"/>
        </w:rPr>
        <w:t>法定代表人或（委托代理人）：               法定代表人（或委托代理人）：</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color w:val="auto"/>
          <w:sz w:val="24"/>
        </w:rPr>
      </w:pPr>
      <w:r>
        <w:rPr>
          <w:rFonts w:hint="eastAsia"/>
          <w:color w:val="auto"/>
          <w:sz w:val="24"/>
        </w:rPr>
        <w:t>地 址：</w:t>
      </w:r>
      <w:r>
        <w:rPr>
          <w:rFonts w:hint="eastAsia"/>
          <w:color w:val="auto"/>
          <w:sz w:val="24"/>
          <w:lang w:eastAsia="zh-CN"/>
        </w:rPr>
        <w:t>中马产业园中马大街</w:t>
      </w:r>
      <w:r>
        <w:rPr>
          <w:rFonts w:hint="eastAsia"/>
          <w:color w:val="auto"/>
          <w:sz w:val="24"/>
          <w:lang w:val="en-US" w:eastAsia="zh-CN"/>
        </w:rPr>
        <w:t xml:space="preserve">1号B101         </w:t>
      </w:r>
      <w:r>
        <w:rPr>
          <w:rFonts w:hint="eastAsia"/>
          <w:color w:val="auto"/>
          <w:sz w:val="24"/>
        </w:rPr>
        <w:t>地 址：</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textAlignment w:val="auto"/>
        <w:outlineLvl w:val="9"/>
        <w:rPr>
          <w:rFonts w:hint="eastAsia"/>
          <w:color w:val="auto"/>
          <w:sz w:val="24"/>
        </w:rPr>
      </w:pPr>
      <w:r>
        <w:rPr>
          <w:rFonts w:hint="eastAsia"/>
          <w:color w:val="auto"/>
          <w:sz w:val="24"/>
        </w:rPr>
        <w:t>联系电话：</w:t>
      </w:r>
      <w:r>
        <w:rPr>
          <w:rFonts w:hint="eastAsia"/>
          <w:color w:val="auto"/>
          <w:sz w:val="24"/>
          <w:lang w:val="en-US" w:eastAsia="zh-CN"/>
        </w:rPr>
        <w:t>0777-5988988</w:t>
      </w:r>
      <w:r>
        <w:rPr>
          <w:rFonts w:hint="eastAsia"/>
          <w:color w:val="auto"/>
          <w:sz w:val="24"/>
        </w:rPr>
        <w:t xml:space="preserve">                     联系电话：</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center"/>
        <w:textAlignment w:val="auto"/>
        <w:outlineLvl w:val="9"/>
        <w:rPr>
          <w:rFonts w:hint="eastAsia"/>
          <w:color w:val="auto"/>
          <w:sz w:val="24"/>
        </w:rPr>
      </w:pPr>
      <w:r>
        <w:rPr>
          <w:rFonts w:hint="eastAsia"/>
          <w:color w:val="auto"/>
          <w:sz w:val="24"/>
          <w:lang w:val="en-US" w:eastAsia="zh-CN"/>
        </w:rPr>
        <w:t>2019</w:t>
      </w:r>
      <w:r>
        <w:rPr>
          <w:rFonts w:hint="eastAsia"/>
          <w:color w:val="auto"/>
          <w:sz w:val="24"/>
        </w:rPr>
        <w:t>年</w:t>
      </w:r>
      <w:r>
        <w:rPr>
          <w:rFonts w:hint="eastAsia"/>
          <w:color w:val="auto"/>
          <w:sz w:val="24"/>
          <w:lang w:val="en-US" w:eastAsia="zh-CN"/>
        </w:rPr>
        <w:t xml:space="preserve">  </w:t>
      </w:r>
      <w:r>
        <w:rPr>
          <w:rFonts w:hint="eastAsia"/>
          <w:color w:val="auto"/>
          <w:sz w:val="24"/>
        </w:rPr>
        <w:t>月  日</w:t>
      </w:r>
    </w:p>
    <w:p>
      <w:pPr>
        <w:spacing w:line="560" w:lineRule="exact"/>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消防检测清单：</w:t>
      </w:r>
    </w:p>
    <w:tbl>
      <w:tblPr>
        <w:tblStyle w:val="9"/>
        <w:tblW w:w="8875" w:type="dxa"/>
        <w:tblInd w:w="0" w:type="dxa"/>
        <w:shd w:val="clear" w:color="auto" w:fill="auto"/>
        <w:tblLayout w:type="fixed"/>
        <w:tblCellMar>
          <w:top w:w="0" w:type="dxa"/>
          <w:left w:w="0" w:type="dxa"/>
          <w:bottom w:w="0" w:type="dxa"/>
          <w:right w:w="0" w:type="dxa"/>
        </w:tblCellMar>
      </w:tblPr>
      <w:tblGrid>
        <w:gridCol w:w="1374"/>
        <w:gridCol w:w="616"/>
        <w:gridCol w:w="3524"/>
        <w:gridCol w:w="1395"/>
        <w:gridCol w:w="975"/>
        <w:gridCol w:w="991"/>
      </w:tblGrid>
      <w:tr>
        <w:tblPrEx>
          <w:shd w:val="clear" w:color="auto" w:fill="auto"/>
          <w:tblLayout w:type="fixed"/>
          <w:tblCellMar>
            <w:top w:w="0" w:type="dxa"/>
            <w:left w:w="0" w:type="dxa"/>
            <w:bottom w:w="0" w:type="dxa"/>
            <w:right w:w="0" w:type="dxa"/>
          </w:tblCellMar>
        </w:tblPrEx>
        <w:trPr>
          <w:trHeight w:val="450" w:hRule="atLeast"/>
        </w:trPr>
        <w:tc>
          <w:tcPr>
            <w:tcW w:w="8875" w:type="dxa"/>
            <w:gridSpan w:val="6"/>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ascii="黑体" w:hAnsi="宋体" w:eastAsia="黑体" w:cs="黑体"/>
                <w:b/>
                <w:i w:val="0"/>
                <w:color w:val="auto"/>
                <w:sz w:val="36"/>
                <w:szCs w:val="36"/>
                <w:u w:val="none"/>
              </w:rPr>
            </w:pPr>
            <w:r>
              <w:rPr>
                <w:rFonts w:hint="eastAsia" w:ascii="黑体" w:hAnsi="宋体" w:eastAsia="黑体" w:cs="黑体"/>
                <w:b/>
                <w:i w:val="0"/>
                <w:color w:val="auto"/>
                <w:kern w:val="0"/>
                <w:sz w:val="36"/>
                <w:szCs w:val="36"/>
                <w:u w:val="none"/>
                <w:lang w:val="en-US" w:eastAsia="zh-CN" w:bidi="ar"/>
              </w:rPr>
              <w:t>火灾报警系统</w:t>
            </w:r>
          </w:p>
        </w:tc>
      </w:tr>
      <w:tr>
        <w:tblPrEx>
          <w:tblLayout w:type="fixed"/>
          <w:tblCellMar>
            <w:top w:w="0" w:type="dxa"/>
            <w:left w:w="0" w:type="dxa"/>
            <w:bottom w:w="0" w:type="dxa"/>
            <w:right w:w="0" w:type="dxa"/>
          </w:tblCellMar>
        </w:tblPrEx>
        <w:trPr>
          <w:trHeight w:val="375" w:hRule="atLeast"/>
        </w:trPr>
        <w:tc>
          <w:tcPr>
            <w:tcW w:w="1374" w:type="dxa"/>
            <w:vMerge w:val="restart"/>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检查类别</w:t>
            </w:r>
          </w:p>
        </w:tc>
        <w:tc>
          <w:tcPr>
            <w:tcW w:w="4140" w:type="dxa"/>
            <w:gridSpan w:val="2"/>
            <w:vMerge w:val="restart"/>
            <w:tcBorders>
              <w:top w:val="single" w:color="000000" w:sz="8"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项</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目</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名</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称</w:t>
            </w:r>
          </w:p>
        </w:tc>
        <w:tc>
          <w:tcPr>
            <w:tcW w:w="1395" w:type="dxa"/>
            <w:vMerge w:val="restart"/>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计算单位</w:t>
            </w:r>
          </w:p>
        </w:tc>
        <w:tc>
          <w:tcPr>
            <w:tcW w:w="975" w:type="dxa"/>
            <w:vMerge w:val="restart"/>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工作量</w:t>
            </w:r>
          </w:p>
        </w:tc>
        <w:tc>
          <w:tcPr>
            <w:tcW w:w="991" w:type="dxa"/>
            <w:vMerge w:val="restart"/>
            <w:tcBorders>
              <w:top w:val="single" w:color="000000" w:sz="8"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备</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注</w:t>
            </w:r>
          </w:p>
        </w:tc>
      </w:tr>
      <w:tr>
        <w:tblPrEx>
          <w:tblLayout w:type="fixed"/>
          <w:tblCellMar>
            <w:top w:w="0" w:type="dxa"/>
            <w:left w:w="0" w:type="dxa"/>
            <w:bottom w:w="0" w:type="dxa"/>
            <w:right w:w="0" w:type="dxa"/>
          </w:tblCellMar>
        </w:tblPrEx>
        <w:trPr>
          <w:trHeight w:val="375" w:hRule="atLeast"/>
        </w:trPr>
        <w:tc>
          <w:tcPr>
            <w:tcW w:w="1374"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140" w:type="dxa"/>
            <w:gridSpan w:val="2"/>
            <w:vMerge w:val="continue"/>
            <w:tcBorders>
              <w:top w:val="single" w:color="000000" w:sz="8"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395" w:type="dxa"/>
            <w:vMerge w:val="continue"/>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75" w:type="dxa"/>
            <w:vMerge w:val="continue"/>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91" w:type="dxa"/>
            <w:vMerge w:val="continue"/>
            <w:tcBorders>
              <w:top w:val="single" w:color="000000" w:sz="8"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restart"/>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普通及安装检验</w:t>
            </w: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火灾探测器安装</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2226</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手动报警按钮</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324</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系统布线</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防火分区</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40</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系统绝缘电阻</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回路</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系统接地电阻</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处</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火灾显示盘</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7、</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报警控制器</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8、</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警报装置安装</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298</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9、</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楼层显示器</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10、</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消防（插孔）电话安装</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374</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11、</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消防广播</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272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疏散指示标志、事故照明灯</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1952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restart"/>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性能检测</w:t>
            </w: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报警控制器基本功能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探测器报警功能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2226</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手动报警按钮报警功能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324</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消防电话通话质量</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67</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应急广播声响功能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防火分区</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40</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事故广播强行切换及选层功能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次</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80</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4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7、</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疏散指示标志、事故照明灯的应急转换及工作照度</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1952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8、</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各消防系统的联动控制功能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9、</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报警控制器配电及其消防电源</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回路</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10、</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火灾显示盘功能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11、</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楼层显示器</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消防电梯功能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部</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13、</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警报装置功能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298</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14、</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备用电池充放电功能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次</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7884" w:type="dxa"/>
            <w:gridSpan w:val="5"/>
            <w:tcBorders>
              <w:top w:val="single" w:color="000000" w:sz="4" w:space="0"/>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费</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用</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小</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计</w:t>
            </w:r>
          </w:p>
        </w:tc>
        <w:tc>
          <w:tcPr>
            <w:tcW w:w="991" w:type="dxa"/>
            <w:tcBorders>
              <w:top w:val="single" w:color="000000" w:sz="4" w:space="0"/>
              <w:left w:val="single" w:color="000000" w:sz="4" w:space="0"/>
              <w:bottom w:val="single" w:color="000000" w:sz="8"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8875" w:type="dxa"/>
            <w:gridSpan w:val="6"/>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黑体" w:hAnsi="宋体" w:eastAsia="黑体" w:cs="黑体"/>
                <w:b/>
                <w:i w:val="0"/>
                <w:color w:val="auto"/>
                <w:sz w:val="36"/>
                <w:szCs w:val="36"/>
                <w:u w:val="none"/>
              </w:rPr>
            </w:pPr>
            <w:r>
              <w:rPr>
                <w:rFonts w:hint="eastAsia" w:ascii="黑体" w:hAnsi="宋体" w:eastAsia="黑体" w:cs="黑体"/>
                <w:b/>
                <w:i w:val="0"/>
                <w:color w:val="auto"/>
                <w:kern w:val="0"/>
                <w:sz w:val="36"/>
                <w:szCs w:val="36"/>
                <w:u w:val="none"/>
                <w:lang w:val="en-US" w:eastAsia="zh-CN" w:bidi="ar"/>
              </w:rPr>
              <w:t>消防给水系统（</w:t>
            </w:r>
            <w:r>
              <w:rPr>
                <w:rFonts w:hint="default" w:ascii="Times New Roman" w:hAnsi="Times New Roman" w:eastAsia="黑体" w:cs="Times New Roman"/>
                <w:b/>
                <w:i w:val="0"/>
                <w:color w:val="auto"/>
                <w:kern w:val="0"/>
                <w:sz w:val="36"/>
                <w:szCs w:val="36"/>
                <w:u w:val="none"/>
                <w:lang w:val="en-US" w:eastAsia="zh-CN" w:bidi="ar"/>
              </w:rPr>
              <w:t>1</w:t>
            </w:r>
            <w:r>
              <w:rPr>
                <w:rFonts w:hint="eastAsia" w:ascii="黑体" w:hAnsi="宋体" w:eastAsia="黑体" w:cs="黑体"/>
                <w:b/>
                <w:i w:val="0"/>
                <w:color w:val="auto"/>
                <w:kern w:val="0"/>
                <w:sz w:val="36"/>
                <w:szCs w:val="36"/>
                <w:u w:val="none"/>
                <w:lang w:val="en-US" w:eastAsia="zh-CN" w:bidi="ar"/>
              </w:rPr>
              <w:t>）</w:t>
            </w:r>
          </w:p>
        </w:tc>
      </w:tr>
      <w:tr>
        <w:tblPrEx>
          <w:tblLayout w:type="fixed"/>
          <w:tblCellMar>
            <w:top w:w="0" w:type="dxa"/>
            <w:left w:w="0" w:type="dxa"/>
            <w:bottom w:w="0" w:type="dxa"/>
            <w:right w:w="0" w:type="dxa"/>
          </w:tblCellMar>
        </w:tblPrEx>
        <w:trPr>
          <w:trHeight w:val="380" w:hRule="atLeast"/>
        </w:trPr>
        <w:tc>
          <w:tcPr>
            <w:tcW w:w="1374" w:type="dxa"/>
            <w:vMerge w:val="restart"/>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检查类别</w:t>
            </w:r>
          </w:p>
        </w:tc>
        <w:tc>
          <w:tcPr>
            <w:tcW w:w="4140" w:type="dxa"/>
            <w:gridSpan w:val="2"/>
            <w:vMerge w:val="restart"/>
            <w:tcBorders>
              <w:top w:val="single" w:color="000000" w:sz="8"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项</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目</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名</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称</w:t>
            </w:r>
          </w:p>
        </w:tc>
        <w:tc>
          <w:tcPr>
            <w:tcW w:w="1395" w:type="dxa"/>
            <w:vMerge w:val="restart"/>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计算单位</w:t>
            </w:r>
          </w:p>
        </w:tc>
        <w:tc>
          <w:tcPr>
            <w:tcW w:w="975" w:type="dxa"/>
            <w:vMerge w:val="restart"/>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工作量</w:t>
            </w:r>
          </w:p>
        </w:tc>
        <w:tc>
          <w:tcPr>
            <w:tcW w:w="991" w:type="dxa"/>
            <w:vMerge w:val="restart"/>
            <w:tcBorders>
              <w:top w:val="single" w:color="000000" w:sz="8"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备</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注</w:t>
            </w:r>
          </w:p>
        </w:tc>
      </w:tr>
      <w:tr>
        <w:tblPrEx>
          <w:tblLayout w:type="fixed"/>
          <w:tblCellMar>
            <w:top w:w="0" w:type="dxa"/>
            <w:left w:w="0" w:type="dxa"/>
            <w:bottom w:w="0" w:type="dxa"/>
            <w:right w:w="0" w:type="dxa"/>
          </w:tblCellMar>
        </w:tblPrEx>
        <w:trPr>
          <w:trHeight w:val="260" w:hRule="atLeast"/>
        </w:trPr>
        <w:tc>
          <w:tcPr>
            <w:tcW w:w="1374"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140" w:type="dxa"/>
            <w:gridSpan w:val="2"/>
            <w:vMerge w:val="continue"/>
            <w:tcBorders>
              <w:top w:val="single" w:color="000000" w:sz="8"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395" w:type="dxa"/>
            <w:vMerge w:val="continue"/>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75" w:type="dxa"/>
            <w:vMerge w:val="continue"/>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91" w:type="dxa"/>
            <w:vMerge w:val="continue"/>
            <w:tcBorders>
              <w:top w:val="single" w:color="000000" w:sz="8"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restart"/>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普通及安装检验</w:t>
            </w: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水泵的吸、出水管道布置</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组</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水力警铃或延迟器与报警阀连接</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组</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供水干管</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压力分区</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配水管路</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防火分区</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电磁阀、信号阀</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处</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水泵电源绝缘电阻</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回路</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7、</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水泵接地电阻</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处</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8、</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水泵及稳压泵电源布线</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回路</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9、</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水流指示器布线</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处</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10、</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消防电源线路及其保护</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回路</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11、</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末端放水装置</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处</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消防备用发电机安装</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13、</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消防水泵和稳压泵</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14、</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水泵接合器</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15、</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水流指示器</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16、</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雨淋阀、报警阀</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17、</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管路支吊架</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压力分区</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18、</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减压、节流装置</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处</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38</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19、</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喷头安装及相关位置</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4058</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20、</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室内消火栓</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处</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358</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21、</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室内消火栓按钮</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358</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22、</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室外消火栓</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处</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990"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23、</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消防水池防护措施、贮水量、补水措施、取水口位置、合用水池保证消防用水量措施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座</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24、</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消防水箱贮水量、防护措施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座</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25、</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气压给水增压装置</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7884" w:type="dxa"/>
            <w:gridSpan w:val="5"/>
            <w:tcBorders>
              <w:top w:val="single" w:color="000000" w:sz="4" w:space="0"/>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安</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装</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费</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用</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小</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计</w:t>
            </w:r>
          </w:p>
        </w:tc>
        <w:tc>
          <w:tcPr>
            <w:tcW w:w="991" w:type="dxa"/>
            <w:tcBorders>
              <w:top w:val="single" w:color="000000" w:sz="4" w:space="0"/>
              <w:left w:val="single" w:color="000000" w:sz="4" w:space="0"/>
              <w:bottom w:val="single" w:color="000000" w:sz="8"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8875" w:type="dxa"/>
            <w:gridSpan w:val="6"/>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黑体" w:hAnsi="宋体" w:eastAsia="黑体" w:cs="黑体"/>
                <w:b/>
                <w:i w:val="0"/>
                <w:color w:val="auto"/>
                <w:sz w:val="36"/>
                <w:szCs w:val="36"/>
                <w:u w:val="none"/>
              </w:rPr>
            </w:pPr>
            <w:r>
              <w:rPr>
                <w:rFonts w:hint="eastAsia" w:ascii="黑体" w:hAnsi="宋体" w:eastAsia="黑体" w:cs="黑体"/>
                <w:b/>
                <w:i w:val="0"/>
                <w:color w:val="auto"/>
                <w:kern w:val="0"/>
                <w:sz w:val="36"/>
                <w:szCs w:val="36"/>
                <w:u w:val="none"/>
                <w:lang w:val="en-US" w:eastAsia="zh-CN" w:bidi="ar"/>
              </w:rPr>
              <w:t>消防给水系统（</w:t>
            </w:r>
            <w:r>
              <w:rPr>
                <w:rFonts w:hint="default" w:ascii="Times New Roman" w:hAnsi="Times New Roman" w:eastAsia="黑体" w:cs="Times New Roman"/>
                <w:b/>
                <w:i w:val="0"/>
                <w:color w:val="auto"/>
                <w:kern w:val="0"/>
                <w:sz w:val="36"/>
                <w:szCs w:val="36"/>
                <w:u w:val="none"/>
                <w:lang w:val="en-US" w:eastAsia="zh-CN" w:bidi="ar"/>
              </w:rPr>
              <w:t>2</w:t>
            </w:r>
            <w:r>
              <w:rPr>
                <w:rFonts w:hint="eastAsia" w:ascii="黑体" w:hAnsi="宋体" w:eastAsia="黑体" w:cs="黑体"/>
                <w:b/>
                <w:i w:val="0"/>
                <w:color w:val="auto"/>
                <w:kern w:val="0"/>
                <w:sz w:val="36"/>
                <w:szCs w:val="36"/>
                <w:u w:val="none"/>
                <w:lang w:val="en-US" w:eastAsia="zh-CN" w:bidi="ar"/>
              </w:rPr>
              <w:t>）</w:t>
            </w:r>
          </w:p>
        </w:tc>
      </w:tr>
      <w:tr>
        <w:tblPrEx>
          <w:tblLayout w:type="fixed"/>
          <w:tblCellMar>
            <w:top w:w="0" w:type="dxa"/>
            <w:left w:w="0" w:type="dxa"/>
            <w:bottom w:w="0" w:type="dxa"/>
            <w:right w:w="0" w:type="dxa"/>
          </w:tblCellMar>
        </w:tblPrEx>
        <w:trPr>
          <w:trHeight w:val="375" w:hRule="atLeast"/>
        </w:trPr>
        <w:tc>
          <w:tcPr>
            <w:tcW w:w="1374" w:type="dxa"/>
            <w:vMerge w:val="restart"/>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检查类别</w:t>
            </w:r>
          </w:p>
        </w:tc>
        <w:tc>
          <w:tcPr>
            <w:tcW w:w="4140" w:type="dxa"/>
            <w:gridSpan w:val="2"/>
            <w:vMerge w:val="restart"/>
            <w:tcBorders>
              <w:top w:val="single" w:color="000000" w:sz="8"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项目名称</w:t>
            </w:r>
          </w:p>
        </w:tc>
        <w:tc>
          <w:tcPr>
            <w:tcW w:w="1395" w:type="dxa"/>
            <w:vMerge w:val="restart"/>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计算单位</w:t>
            </w:r>
          </w:p>
        </w:tc>
        <w:tc>
          <w:tcPr>
            <w:tcW w:w="975" w:type="dxa"/>
            <w:vMerge w:val="restart"/>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工作量</w:t>
            </w:r>
          </w:p>
        </w:tc>
        <w:tc>
          <w:tcPr>
            <w:tcW w:w="991" w:type="dxa"/>
            <w:vMerge w:val="restart"/>
            <w:tcBorders>
              <w:top w:val="single" w:color="000000" w:sz="8"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备</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注</w:t>
            </w:r>
          </w:p>
        </w:tc>
      </w:tr>
      <w:tr>
        <w:tblPrEx>
          <w:tblLayout w:type="fixed"/>
          <w:tblCellMar>
            <w:top w:w="0" w:type="dxa"/>
            <w:left w:w="0" w:type="dxa"/>
            <w:bottom w:w="0" w:type="dxa"/>
            <w:right w:w="0" w:type="dxa"/>
          </w:tblCellMar>
        </w:tblPrEx>
        <w:trPr>
          <w:trHeight w:val="375" w:hRule="atLeast"/>
        </w:trPr>
        <w:tc>
          <w:tcPr>
            <w:tcW w:w="1374"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140" w:type="dxa"/>
            <w:gridSpan w:val="2"/>
            <w:vMerge w:val="continue"/>
            <w:tcBorders>
              <w:top w:val="single" w:color="000000" w:sz="8"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395" w:type="dxa"/>
            <w:vMerge w:val="continue"/>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75" w:type="dxa"/>
            <w:vMerge w:val="continue"/>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91" w:type="dxa"/>
            <w:vMerge w:val="continue"/>
            <w:tcBorders>
              <w:top w:val="single" w:color="000000" w:sz="8"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525" w:hRule="atLeast"/>
        </w:trPr>
        <w:tc>
          <w:tcPr>
            <w:tcW w:w="1374" w:type="dxa"/>
            <w:vMerge w:val="restart"/>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性能检测</w:t>
            </w: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消防泵启动</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次</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8</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52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消防泵电控柜功能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8</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52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气压罐装置试验</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次</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52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管道末端装置放水（联动）</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次</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52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系统管网工作压力测试</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压力分区</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18</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52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报警阀、雨淋阀功能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52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7、</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电磁阀、信号阀功能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52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8、</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消火栓、自动消防水系统联动</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次</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52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9、</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水流指示器功能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次</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52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10、</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压力开关功能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52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11、</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消火栓按钮功能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358</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52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减压、节流装置性能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压力分区</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18</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52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13、</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室内消火栓动静压力测试</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处</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358</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52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14、</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室外消火栓射水试验</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52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15、</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水泵接合器进水试验</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处</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52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16、</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临时增压装置（稳压泵）</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52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17、</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冷却水系统试验</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次</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52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18、</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消防电源末端装置切换性能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30</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52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19、</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消防电源容量核算</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52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20、</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消防电源电压稳定性测试</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次</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52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21、</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消防备用发电机启动</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525" w:hRule="atLeast"/>
        </w:trPr>
        <w:tc>
          <w:tcPr>
            <w:tcW w:w="7884" w:type="dxa"/>
            <w:gridSpan w:val="5"/>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性 能 检 测 小 计</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525" w:hRule="atLeast"/>
        </w:trPr>
        <w:tc>
          <w:tcPr>
            <w:tcW w:w="7884" w:type="dxa"/>
            <w:gridSpan w:val="5"/>
            <w:tcBorders>
              <w:top w:val="nil"/>
              <w:left w:val="single" w:color="000000" w:sz="8" w:space="0"/>
              <w:bottom w:val="single" w:color="000000" w:sz="8"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(1)(2)项费用小计</w:t>
            </w:r>
          </w:p>
        </w:tc>
        <w:tc>
          <w:tcPr>
            <w:tcW w:w="991" w:type="dxa"/>
            <w:tcBorders>
              <w:top w:val="nil"/>
              <w:left w:val="single" w:color="000000" w:sz="4" w:space="0"/>
              <w:bottom w:val="single" w:color="000000" w:sz="8"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8875" w:type="dxa"/>
            <w:gridSpan w:val="6"/>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黑体" w:hAnsi="宋体" w:eastAsia="黑体" w:cs="黑体"/>
                <w:b/>
                <w:i w:val="0"/>
                <w:color w:val="auto"/>
                <w:sz w:val="36"/>
                <w:szCs w:val="36"/>
                <w:u w:val="none"/>
              </w:rPr>
            </w:pPr>
            <w:r>
              <w:rPr>
                <w:rFonts w:hint="eastAsia" w:ascii="黑体" w:hAnsi="宋体" w:eastAsia="黑体" w:cs="黑体"/>
                <w:b/>
                <w:i w:val="0"/>
                <w:color w:val="auto"/>
                <w:kern w:val="0"/>
                <w:sz w:val="36"/>
                <w:szCs w:val="36"/>
                <w:u w:val="none"/>
                <w:lang w:val="en-US" w:eastAsia="zh-CN" w:bidi="ar"/>
              </w:rPr>
              <w:t>气体灭火系统</w:t>
            </w:r>
          </w:p>
        </w:tc>
      </w:tr>
      <w:tr>
        <w:tblPrEx>
          <w:tblLayout w:type="fixed"/>
          <w:tblCellMar>
            <w:top w:w="0" w:type="dxa"/>
            <w:left w:w="0" w:type="dxa"/>
            <w:bottom w:w="0" w:type="dxa"/>
            <w:right w:w="0" w:type="dxa"/>
          </w:tblCellMar>
        </w:tblPrEx>
        <w:trPr>
          <w:trHeight w:val="240" w:hRule="atLeast"/>
        </w:trPr>
        <w:tc>
          <w:tcPr>
            <w:tcW w:w="1374" w:type="dxa"/>
            <w:vMerge w:val="restart"/>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检查类别</w:t>
            </w:r>
          </w:p>
        </w:tc>
        <w:tc>
          <w:tcPr>
            <w:tcW w:w="4140" w:type="dxa"/>
            <w:gridSpan w:val="2"/>
            <w:vMerge w:val="restart"/>
            <w:tcBorders>
              <w:top w:val="single" w:color="000000" w:sz="8"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项</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目</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名</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称</w:t>
            </w:r>
          </w:p>
        </w:tc>
        <w:tc>
          <w:tcPr>
            <w:tcW w:w="1395" w:type="dxa"/>
            <w:vMerge w:val="restart"/>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计算单位</w:t>
            </w:r>
          </w:p>
        </w:tc>
        <w:tc>
          <w:tcPr>
            <w:tcW w:w="975" w:type="dxa"/>
            <w:vMerge w:val="restart"/>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工作量</w:t>
            </w:r>
          </w:p>
        </w:tc>
        <w:tc>
          <w:tcPr>
            <w:tcW w:w="991" w:type="dxa"/>
            <w:vMerge w:val="restart"/>
            <w:tcBorders>
              <w:top w:val="single" w:color="000000" w:sz="8"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备</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注</w:t>
            </w:r>
          </w:p>
        </w:tc>
      </w:tr>
      <w:tr>
        <w:tblPrEx>
          <w:tblLayout w:type="fixed"/>
          <w:tblCellMar>
            <w:top w:w="0" w:type="dxa"/>
            <w:left w:w="0" w:type="dxa"/>
            <w:bottom w:w="0" w:type="dxa"/>
            <w:right w:w="0" w:type="dxa"/>
          </w:tblCellMar>
        </w:tblPrEx>
        <w:trPr>
          <w:trHeight w:val="240" w:hRule="atLeast"/>
        </w:trPr>
        <w:tc>
          <w:tcPr>
            <w:tcW w:w="1374"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140" w:type="dxa"/>
            <w:gridSpan w:val="2"/>
            <w:vMerge w:val="continue"/>
            <w:tcBorders>
              <w:top w:val="single" w:color="000000" w:sz="8"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395" w:type="dxa"/>
            <w:vMerge w:val="continue"/>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75" w:type="dxa"/>
            <w:vMerge w:val="continue"/>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91" w:type="dxa"/>
            <w:vMerge w:val="continue"/>
            <w:tcBorders>
              <w:top w:val="single" w:color="000000" w:sz="8"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restart"/>
            <w:tcBorders>
              <w:top w:val="single" w:color="000000" w:sz="4" w:space="0"/>
              <w:left w:val="single" w:color="000000" w:sz="8"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普通及安装检验</w:t>
            </w: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火灾探测器安装</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w:t>
            </w:r>
          </w:p>
        </w:tc>
        <w:tc>
          <w:tcPr>
            <w:tcW w:w="991" w:type="dxa"/>
            <w:vMerge w:val="restart"/>
            <w:tcBorders>
              <w:top w:val="single" w:color="000000" w:sz="4" w:space="0"/>
              <w:left w:val="single" w:color="000000" w:sz="4" w:space="0"/>
              <w:bottom w:val="nil"/>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报警控制部分</w:t>
            </w: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紧急启停按钮</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w:t>
            </w:r>
          </w:p>
        </w:tc>
        <w:tc>
          <w:tcPr>
            <w:tcW w:w="991" w:type="dxa"/>
            <w:vMerge w:val="continue"/>
            <w:tcBorders>
              <w:top w:val="single" w:color="000000" w:sz="4" w:space="0"/>
              <w:left w:val="single" w:color="000000" w:sz="4" w:space="0"/>
              <w:bottom w:val="nil"/>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系统布线</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防火分区</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991" w:type="dxa"/>
            <w:vMerge w:val="continue"/>
            <w:tcBorders>
              <w:top w:val="single" w:color="000000" w:sz="4" w:space="0"/>
              <w:left w:val="single" w:color="000000" w:sz="4" w:space="0"/>
              <w:bottom w:val="nil"/>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系统绝缘电阻</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回路</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991" w:type="dxa"/>
            <w:vMerge w:val="continue"/>
            <w:tcBorders>
              <w:top w:val="single" w:color="000000" w:sz="4" w:space="0"/>
              <w:left w:val="single" w:color="000000" w:sz="4" w:space="0"/>
              <w:bottom w:val="nil"/>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系统接地电阻</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处</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991" w:type="dxa"/>
            <w:vMerge w:val="continue"/>
            <w:tcBorders>
              <w:top w:val="single" w:color="000000" w:sz="4" w:space="0"/>
              <w:left w:val="single" w:color="000000" w:sz="4" w:space="0"/>
              <w:bottom w:val="nil"/>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3524" w:type="dxa"/>
            <w:tcBorders>
              <w:top w:val="single" w:color="000000" w:sz="4" w:space="0"/>
              <w:left w:val="nil"/>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报警控制器</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991" w:type="dxa"/>
            <w:vMerge w:val="continue"/>
            <w:tcBorders>
              <w:top w:val="single" w:color="000000" w:sz="4" w:space="0"/>
              <w:left w:val="single" w:color="000000" w:sz="4" w:space="0"/>
              <w:bottom w:val="nil"/>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7、</w:t>
            </w:r>
          </w:p>
        </w:tc>
        <w:tc>
          <w:tcPr>
            <w:tcW w:w="3524" w:type="dxa"/>
            <w:tcBorders>
              <w:top w:val="single" w:color="000000" w:sz="4" w:space="0"/>
              <w:left w:val="nil"/>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警报装置安装</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w:t>
            </w:r>
          </w:p>
        </w:tc>
        <w:tc>
          <w:tcPr>
            <w:tcW w:w="991" w:type="dxa"/>
            <w:vMerge w:val="continue"/>
            <w:tcBorders>
              <w:top w:val="single" w:color="000000" w:sz="4" w:space="0"/>
              <w:left w:val="single" w:color="000000" w:sz="4" w:space="0"/>
              <w:bottom w:val="nil"/>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restart"/>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性能检测</w:t>
            </w:r>
          </w:p>
        </w:tc>
        <w:tc>
          <w:tcPr>
            <w:tcW w:w="61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w:t>
            </w:r>
          </w:p>
        </w:tc>
        <w:tc>
          <w:tcPr>
            <w:tcW w:w="3524" w:type="dxa"/>
            <w:tcBorders>
              <w:top w:val="single" w:color="000000" w:sz="4" w:space="0"/>
              <w:left w:val="nil"/>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报警控制器基本功能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991" w:type="dxa"/>
            <w:vMerge w:val="continue"/>
            <w:tcBorders>
              <w:top w:val="single" w:color="000000" w:sz="4" w:space="0"/>
              <w:left w:val="single" w:color="000000" w:sz="4" w:space="0"/>
              <w:bottom w:val="nil"/>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3524" w:type="dxa"/>
            <w:tcBorders>
              <w:top w:val="single" w:color="000000" w:sz="4" w:space="0"/>
              <w:left w:val="nil"/>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探测器报警功能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w:t>
            </w:r>
          </w:p>
        </w:tc>
        <w:tc>
          <w:tcPr>
            <w:tcW w:w="991" w:type="dxa"/>
            <w:vMerge w:val="continue"/>
            <w:tcBorders>
              <w:top w:val="single" w:color="000000" w:sz="4" w:space="0"/>
              <w:left w:val="single" w:color="000000" w:sz="4" w:space="0"/>
              <w:bottom w:val="nil"/>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w:t>
            </w:r>
          </w:p>
        </w:tc>
        <w:tc>
          <w:tcPr>
            <w:tcW w:w="3524" w:type="dxa"/>
            <w:tcBorders>
              <w:top w:val="single" w:color="000000" w:sz="4" w:space="0"/>
              <w:left w:val="nil"/>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紧急启停按钮功能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w:t>
            </w:r>
          </w:p>
        </w:tc>
        <w:tc>
          <w:tcPr>
            <w:tcW w:w="991" w:type="dxa"/>
            <w:vMerge w:val="continue"/>
            <w:tcBorders>
              <w:top w:val="single" w:color="000000" w:sz="4" w:space="0"/>
              <w:left w:val="single" w:color="000000" w:sz="4" w:space="0"/>
              <w:bottom w:val="nil"/>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报警控制器配电及其消防电源</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回路</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991" w:type="dxa"/>
            <w:vMerge w:val="continue"/>
            <w:tcBorders>
              <w:top w:val="single" w:color="000000" w:sz="4" w:space="0"/>
              <w:left w:val="single" w:color="000000" w:sz="4" w:space="0"/>
              <w:bottom w:val="nil"/>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58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w:t>
            </w:r>
          </w:p>
        </w:tc>
        <w:tc>
          <w:tcPr>
            <w:tcW w:w="352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警报装置功能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w:t>
            </w:r>
          </w:p>
        </w:tc>
        <w:tc>
          <w:tcPr>
            <w:tcW w:w="991" w:type="dxa"/>
            <w:vMerge w:val="continue"/>
            <w:tcBorders>
              <w:top w:val="single" w:color="000000" w:sz="4" w:space="0"/>
              <w:left w:val="single" w:color="000000" w:sz="4" w:space="0"/>
              <w:bottom w:val="nil"/>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516" w:hRule="atLeast"/>
        </w:trPr>
        <w:tc>
          <w:tcPr>
            <w:tcW w:w="1374" w:type="dxa"/>
            <w:vMerge w:val="continue"/>
            <w:tcBorders>
              <w:top w:val="single" w:color="000000" w:sz="4" w:space="0"/>
              <w:left w:val="single" w:color="000000" w:sz="8" w:space="0"/>
              <w:bottom w:val="single" w:color="auto"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nil"/>
              <w:left w:val="single" w:color="000000" w:sz="4" w:space="0"/>
              <w:bottom w:val="single" w:color="auto"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3524" w:type="dxa"/>
            <w:tcBorders>
              <w:top w:val="nil"/>
              <w:left w:val="nil"/>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备用电池充放电功能</w:t>
            </w:r>
          </w:p>
        </w:tc>
        <w:tc>
          <w:tcPr>
            <w:tcW w:w="1395" w:type="dxa"/>
            <w:tcBorders>
              <w:top w:val="single" w:color="000000" w:sz="4" w:space="0"/>
              <w:left w:val="nil"/>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次</w:t>
            </w:r>
          </w:p>
        </w:tc>
        <w:tc>
          <w:tcPr>
            <w:tcW w:w="97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w:t>
            </w:r>
          </w:p>
        </w:tc>
        <w:tc>
          <w:tcPr>
            <w:tcW w:w="991" w:type="dxa"/>
            <w:vMerge w:val="continue"/>
            <w:tcBorders>
              <w:top w:val="single" w:color="000000" w:sz="4" w:space="0"/>
              <w:left w:val="single" w:color="000000" w:sz="4" w:space="0"/>
              <w:bottom w:val="nil"/>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restar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普通及安装检验</w:t>
            </w:r>
          </w:p>
        </w:tc>
        <w:tc>
          <w:tcPr>
            <w:tcW w:w="616" w:type="dxa"/>
            <w:tcBorders>
              <w:top w:val="single" w:color="auto" w:sz="4" w:space="0"/>
              <w:left w:val="single" w:color="000000" w:sz="4" w:space="0"/>
              <w:bottom w:val="single" w:color="auto"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w:t>
            </w:r>
          </w:p>
        </w:tc>
        <w:tc>
          <w:tcPr>
            <w:tcW w:w="3524"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灭火剂充装装置及充装精度</w:t>
            </w:r>
          </w:p>
        </w:tc>
        <w:tc>
          <w:tcPr>
            <w:tcW w:w="1395"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w:t>
            </w:r>
          </w:p>
        </w:tc>
        <w:tc>
          <w:tcPr>
            <w:tcW w:w="975" w:type="dxa"/>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w:t>
            </w:r>
          </w:p>
        </w:tc>
        <w:tc>
          <w:tcPr>
            <w:tcW w:w="991" w:type="dxa"/>
            <w:vMerge w:val="restart"/>
            <w:tcBorders>
              <w:top w:val="single" w:color="000000" w:sz="4" w:space="0"/>
              <w:left w:val="single" w:color="auto" w:sz="4" w:space="0"/>
              <w:bottom w:val="single" w:color="000000" w:sz="4"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气体灭火部分</w:t>
            </w: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auto" w:sz="4" w:space="0"/>
              <w:left w:val="single" w:color="auto"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auto"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3524"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贮瓶间内温度、湿度</w:t>
            </w:r>
          </w:p>
        </w:tc>
        <w:tc>
          <w:tcPr>
            <w:tcW w:w="1395"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间</w:t>
            </w:r>
          </w:p>
        </w:tc>
        <w:tc>
          <w:tcPr>
            <w:tcW w:w="97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w:t>
            </w:r>
          </w:p>
        </w:tc>
        <w:tc>
          <w:tcPr>
            <w:tcW w:w="991" w:type="dxa"/>
            <w:vMerge w:val="continue"/>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nil"/>
              <w:left w:val="single" w:color="auto"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w:t>
            </w:r>
          </w:p>
        </w:tc>
        <w:tc>
          <w:tcPr>
            <w:tcW w:w="352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驱动管路</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w:t>
            </w:r>
          </w:p>
        </w:tc>
        <w:tc>
          <w:tcPr>
            <w:tcW w:w="991" w:type="dxa"/>
            <w:vMerge w:val="continue"/>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705" w:hRule="atLeast"/>
        </w:trPr>
        <w:tc>
          <w:tcPr>
            <w:tcW w:w="1374" w:type="dxa"/>
            <w:vMerge w:val="continue"/>
            <w:tcBorders>
              <w:top w:val="nil"/>
              <w:left w:val="single" w:color="auto"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w:t>
            </w:r>
          </w:p>
        </w:tc>
        <w:tc>
          <w:tcPr>
            <w:tcW w:w="3524" w:type="dxa"/>
            <w:tcBorders>
              <w:top w:val="single" w:color="000000" w:sz="4" w:space="0"/>
              <w:left w:val="nil"/>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管道连接方式、坡度坡向、穿墙、楼板保护、固定强度</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w:t>
            </w:r>
          </w:p>
        </w:tc>
        <w:tc>
          <w:tcPr>
            <w:tcW w:w="991" w:type="dxa"/>
            <w:vMerge w:val="continue"/>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nil"/>
              <w:left w:val="single" w:color="auto"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w:t>
            </w:r>
          </w:p>
        </w:tc>
        <w:tc>
          <w:tcPr>
            <w:tcW w:w="3524" w:type="dxa"/>
            <w:tcBorders>
              <w:top w:val="single" w:color="000000" w:sz="4" w:space="0"/>
              <w:left w:val="nil"/>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管网的吹扫</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w:t>
            </w:r>
          </w:p>
        </w:tc>
        <w:tc>
          <w:tcPr>
            <w:tcW w:w="991" w:type="dxa"/>
            <w:vMerge w:val="continue"/>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90" w:hRule="atLeast"/>
        </w:trPr>
        <w:tc>
          <w:tcPr>
            <w:tcW w:w="1374" w:type="dxa"/>
            <w:vMerge w:val="continue"/>
            <w:tcBorders>
              <w:top w:val="nil"/>
              <w:left w:val="single" w:color="auto"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3524" w:type="dxa"/>
            <w:tcBorders>
              <w:top w:val="single" w:color="000000" w:sz="4" w:space="0"/>
              <w:left w:val="nil"/>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管道水压强度、气压严密性</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w:t>
            </w:r>
          </w:p>
        </w:tc>
        <w:tc>
          <w:tcPr>
            <w:tcW w:w="991" w:type="dxa"/>
            <w:vMerge w:val="continue"/>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nil"/>
              <w:left w:val="single" w:color="auto"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7、</w:t>
            </w:r>
          </w:p>
        </w:tc>
        <w:tc>
          <w:tcPr>
            <w:tcW w:w="3524" w:type="dxa"/>
            <w:tcBorders>
              <w:top w:val="single" w:color="000000" w:sz="4" w:space="0"/>
              <w:left w:val="nil"/>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贮存容器及压力表</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w:t>
            </w:r>
          </w:p>
        </w:tc>
        <w:tc>
          <w:tcPr>
            <w:tcW w:w="991" w:type="dxa"/>
            <w:vMerge w:val="continue"/>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nil"/>
              <w:left w:val="single" w:color="auto"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8、</w:t>
            </w:r>
          </w:p>
        </w:tc>
        <w:tc>
          <w:tcPr>
            <w:tcW w:w="3524" w:type="dxa"/>
            <w:tcBorders>
              <w:top w:val="single" w:color="000000" w:sz="4" w:space="0"/>
              <w:left w:val="nil"/>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各种阀体</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w:t>
            </w:r>
          </w:p>
        </w:tc>
        <w:tc>
          <w:tcPr>
            <w:tcW w:w="991" w:type="dxa"/>
            <w:vMerge w:val="continue"/>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nil"/>
              <w:left w:val="single" w:color="auto"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9、</w:t>
            </w:r>
          </w:p>
        </w:tc>
        <w:tc>
          <w:tcPr>
            <w:tcW w:w="3524" w:type="dxa"/>
            <w:tcBorders>
              <w:top w:val="single" w:color="000000" w:sz="4" w:space="0"/>
              <w:left w:val="nil"/>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气体驱动装置</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w:t>
            </w:r>
          </w:p>
        </w:tc>
        <w:tc>
          <w:tcPr>
            <w:tcW w:w="991" w:type="dxa"/>
            <w:vMerge w:val="continue"/>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nil"/>
              <w:left w:val="single" w:color="auto"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10、</w:t>
            </w:r>
          </w:p>
        </w:tc>
        <w:tc>
          <w:tcPr>
            <w:tcW w:w="3524" w:type="dxa"/>
            <w:tcBorders>
              <w:top w:val="single" w:color="000000" w:sz="4" w:space="0"/>
              <w:left w:val="nil"/>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驱动管路与贮气瓶联接</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处</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w:t>
            </w:r>
          </w:p>
        </w:tc>
        <w:tc>
          <w:tcPr>
            <w:tcW w:w="991" w:type="dxa"/>
            <w:vMerge w:val="continue"/>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nil"/>
              <w:left w:val="single" w:color="auto"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11、</w:t>
            </w:r>
          </w:p>
        </w:tc>
        <w:tc>
          <w:tcPr>
            <w:tcW w:w="3524" w:type="dxa"/>
            <w:tcBorders>
              <w:top w:val="single" w:color="000000" w:sz="4" w:space="0"/>
              <w:left w:val="nil"/>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喷头（嘴）安装及相关位置</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w:t>
            </w:r>
          </w:p>
        </w:tc>
        <w:tc>
          <w:tcPr>
            <w:tcW w:w="991" w:type="dxa"/>
            <w:vMerge w:val="continue"/>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nil"/>
              <w:left w:val="single" w:color="auto"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12、</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防护区条件及浓度检验</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防护区</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991" w:type="dxa"/>
            <w:vMerge w:val="continue"/>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restart"/>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性能检测</w:t>
            </w:r>
          </w:p>
        </w:tc>
        <w:tc>
          <w:tcPr>
            <w:tcW w:w="616" w:type="dxa"/>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w:t>
            </w:r>
          </w:p>
        </w:tc>
        <w:tc>
          <w:tcPr>
            <w:tcW w:w="352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机械应急灭火启动</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防护区</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991" w:type="dxa"/>
            <w:vMerge w:val="continue"/>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352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手动灭火启动</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防护区</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991" w:type="dxa"/>
            <w:vMerge w:val="continue"/>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w:t>
            </w:r>
          </w:p>
        </w:tc>
        <w:tc>
          <w:tcPr>
            <w:tcW w:w="352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紧急制动操作功能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防护区</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991" w:type="dxa"/>
            <w:vMerge w:val="continue"/>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w:t>
            </w:r>
          </w:p>
        </w:tc>
        <w:tc>
          <w:tcPr>
            <w:tcW w:w="352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联动灭火功能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防护区</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991" w:type="dxa"/>
            <w:vMerge w:val="continue"/>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w:t>
            </w:r>
          </w:p>
        </w:tc>
        <w:tc>
          <w:tcPr>
            <w:tcW w:w="352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防护区通风开口联动</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防护区</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991" w:type="dxa"/>
            <w:vMerge w:val="continue"/>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352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信号反馈响应</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防护区</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991" w:type="dxa"/>
            <w:vMerge w:val="continue"/>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7、</w:t>
            </w:r>
          </w:p>
        </w:tc>
        <w:tc>
          <w:tcPr>
            <w:tcW w:w="352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灭火延时功能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防护区</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991" w:type="dxa"/>
            <w:vMerge w:val="continue"/>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8、</w:t>
            </w:r>
          </w:p>
        </w:tc>
        <w:tc>
          <w:tcPr>
            <w:tcW w:w="352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气体释放声、光报警</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防护区</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991" w:type="dxa"/>
            <w:vMerge w:val="continue"/>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35" w:hRule="atLeast"/>
        </w:trPr>
        <w:tc>
          <w:tcPr>
            <w:tcW w:w="7884" w:type="dxa"/>
            <w:gridSpan w:val="5"/>
            <w:tcBorders>
              <w:top w:val="single" w:color="000000" w:sz="4" w:space="0"/>
              <w:left w:val="single" w:color="000000" w:sz="8" w:space="0"/>
              <w:bottom w:val="single" w:color="000000" w:sz="8"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费</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用</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小</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计</w:t>
            </w:r>
          </w:p>
        </w:tc>
        <w:tc>
          <w:tcPr>
            <w:tcW w:w="991" w:type="dxa"/>
            <w:tcBorders>
              <w:top w:val="single" w:color="000000" w:sz="4" w:space="0"/>
              <w:left w:val="single" w:color="000000" w:sz="4" w:space="0"/>
              <w:bottom w:val="single" w:color="000000" w:sz="8" w:space="0"/>
              <w:right w:val="single" w:color="000000" w:sz="8" w:space="0"/>
            </w:tcBorders>
            <w:shd w:val="clear" w:color="auto" w:fill="auto"/>
            <w:noWrap/>
            <w:tcMar>
              <w:top w:w="15" w:type="dxa"/>
              <w:left w:w="15" w:type="dxa"/>
              <w:right w:w="15" w:type="dxa"/>
            </w:tcMar>
            <w:vAlign w:val="bottom"/>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8875" w:type="dxa"/>
            <w:gridSpan w:val="6"/>
            <w:tcBorders>
              <w:top w:val="nil"/>
              <w:left w:val="nil"/>
              <w:bottom w:val="single" w:color="auto" w:sz="4" w:space="0"/>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黑体" w:hAnsi="宋体" w:eastAsia="黑体" w:cs="黑体"/>
                <w:b/>
                <w:i w:val="0"/>
                <w:color w:val="auto"/>
                <w:sz w:val="36"/>
                <w:szCs w:val="36"/>
                <w:u w:val="none"/>
              </w:rPr>
            </w:pPr>
            <w:r>
              <w:rPr>
                <w:rFonts w:hint="eastAsia" w:ascii="黑体" w:hAnsi="宋体" w:eastAsia="黑体" w:cs="黑体"/>
                <w:b/>
                <w:i w:val="0"/>
                <w:color w:val="auto"/>
                <w:kern w:val="0"/>
                <w:sz w:val="36"/>
                <w:szCs w:val="36"/>
                <w:u w:val="none"/>
                <w:lang w:val="en-US" w:eastAsia="zh-CN" w:bidi="ar"/>
              </w:rPr>
              <w:t>防火卷帘与防火门系统</w:t>
            </w:r>
          </w:p>
        </w:tc>
      </w:tr>
      <w:tr>
        <w:tblPrEx>
          <w:tblLayout w:type="fixed"/>
          <w:tblCellMar>
            <w:top w:w="0" w:type="dxa"/>
            <w:left w:w="0" w:type="dxa"/>
            <w:bottom w:w="0" w:type="dxa"/>
            <w:right w:w="0" w:type="dxa"/>
          </w:tblCellMar>
        </w:tblPrEx>
        <w:trPr>
          <w:trHeight w:val="375" w:hRule="atLeast"/>
        </w:trPr>
        <w:tc>
          <w:tcPr>
            <w:tcW w:w="1374"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检查类别</w:t>
            </w:r>
          </w:p>
        </w:tc>
        <w:tc>
          <w:tcPr>
            <w:tcW w:w="4140" w:type="dxa"/>
            <w:gridSpan w:val="2"/>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项目名称</w:t>
            </w:r>
          </w:p>
        </w:tc>
        <w:tc>
          <w:tcPr>
            <w:tcW w:w="139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计算单位</w:t>
            </w:r>
          </w:p>
        </w:tc>
        <w:tc>
          <w:tcPr>
            <w:tcW w:w="97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工作量</w:t>
            </w:r>
          </w:p>
        </w:tc>
        <w:tc>
          <w:tcPr>
            <w:tcW w:w="991"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备</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注</w:t>
            </w:r>
          </w:p>
        </w:tc>
      </w:tr>
      <w:tr>
        <w:tblPrEx>
          <w:tblLayout w:type="fixed"/>
          <w:tblCellMar>
            <w:top w:w="0" w:type="dxa"/>
            <w:left w:w="0" w:type="dxa"/>
            <w:bottom w:w="0" w:type="dxa"/>
            <w:right w:w="0" w:type="dxa"/>
          </w:tblCellMar>
        </w:tblPrEx>
        <w:trPr>
          <w:trHeight w:val="375" w:hRule="atLeast"/>
        </w:trPr>
        <w:tc>
          <w:tcPr>
            <w:tcW w:w="1374"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140" w:type="dxa"/>
            <w:gridSpan w:val="2"/>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39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91"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15" w:hRule="atLeast"/>
        </w:trPr>
        <w:tc>
          <w:tcPr>
            <w:tcW w:w="1374"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普通及安装检验</w:t>
            </w:r>
          </w:p>
        </w:tc>
        <w:tc>
          <w:tcPr>
            <w:tcW w:w="616" w:type="dxa"/>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w:t>
            </w:r>
          </w:p>
        </w:tc>
        <w:tc>
          <w:tcPr>
            <w:tcW w:w="3524"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卷帘电源绝缘电阻</w:t>
            </w:r>
          </w:p>
        </w:tc>
        <w:tc>
          <w:tcPr>
            <w:tcW w:w="139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回路</w:t>
            </w:r>
          </w:p>
        </w:tc>
        <w:tc>
          <w:tcPr>
            <w:tcW w:w="9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42</w:t>
            </w:r>
          </w:p>
        </w:tc>
        <w:tc>
          <w:tcPr>
            <w:tcW w:w="99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15" w:hRule="atLeast"/>
        </w:trPr>
        <w:tc>
          <w:tcPr>
            <w:tcW w:w="1374"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3524"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卷帘帘板嵌入导轨深度</w:t>
            </w:r>
          </w:p>
        </w:tc>
        <w:tc>
          <w:tcPr>
            <w:tcW w:w="139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樘</w:t>
            </w:r>
          </w:p>
        </w:tc>
        <w:tc>
          <w:tcPr>
            <w:tcW w:w="9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42</w:t>
            </w:r>
          </w:p>
        </w:tc>
        <w:tc>
          <w:tcPr>
            <w:tcW w:w="99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15" w:hRule="atLeast"/>
        </w:trPr>
        <w:tc>
          <w:tcPr>
            <w:tcW w:w="1374"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w:t>
            </w:r>
          </w:p>
        </w:tc>
        <w:tc>
          <w:tcPr>
            <w:tcW w:w="3524"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卷帘座板与地面间隙</w:t>
            </w:r>
          </w:p>
        </w:tc>
        <w:tc>
          <w:tcPr>
            <w:tcW w:w="139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樘</w:t>
            </w:r>
          </w:p>
        </w:tc>
        <w:tc>
          <w:tcPr>
            <w:tcW w:w="9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42</w:t>
            </w:r>
          </w:p>
        </w:tc>
        <w:tc>
          <w:tcPr>
            <w:tcW w:w="99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15" w:hRule="atLeast"/>
        </w:trPr>
        <w:tc>
          <w:tcPr>
            <w:tcW w:w="1374" w:type="dxa"/>
            <w:vMerge w:val="continue"/>
            <w:tcBorders>
              <w:top w:val="single" w:color="auto" w:sz="4" w:space="0"/>
              <w:left w:val="single" w:color="auto"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auto" w:sz="4" w:space="0"/>
              <w:left w:val="single" w:color="000000" w:sz="4"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w:t>
            </w:r>
          </w:p>
        </w:tc>
        <w:tc>
          <w:tcPr>
            <w:tcW w:w="3524" w:type="dxa"/>
            <w:tcBorders>
              <w:top w:val="single" w:color="auto" w:sz="4" w:space="0"/>
              <w:left w:val="nil"/>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卷帘电源布线</w:t>
            </w:r>
          </w:p>
        </w:tc>
        <w:tc>
          <w:tcPr>
            <w:tcW w:w="1395"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回路</w:t>
            </w:r>
          </w:p>
        </w:tc>
        <w:tc>
          <w:tcPr>
            <w:tcW w:w="97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42</w:t>
            </w:r>
          </w:p>
        </w:tc>
        <w:tc>
          <w:tcPr>
            <w:tcW w:w="991" w:type="dxa"/>
            <w:tcBorders>
              <w:top w:val="single" w:color="auto"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15" w:hRule="atLeast"/>
        </w:trPr>
        <w:tc>
          <w:tcPr>
            <w:tcW w:w="1374" w:type="dxa"/>
            <w:vMerge w:val="continue"/>
            <w:tcBorders>
              <w:top w:val="single" w:color="000000" w:sz="4" w:space="0"/>
              <w:left w:val="single" w:color="auto"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w:t>
            </w:r>
          </w:p>
        </w:tc>
        <w:tc>
          <w:tcPr>
            <w:tcW w:w="3524" w:type="dxa"/>
            <w:tcBorders>
              <w:top w:val="single" w:color="000000" w:sz="4" w:space="0"/>
              <w:left w:val="nil"/>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卷帘控制器</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15" w:hRule="atLeast"/>
        </w:trPr>
        <w:tc>
          <w:tcPr>
            <w:tcW w:w="1374" w:type="dxa"/>
            <w:vMerge w:val="continue"/>
            <w:tcBorders>
              <w:top w:val="single" w:color="000000" w:sz="4" w:space="0"/>
              <w:left w:val="single" w:color="auto"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3524" w:type="dxa"/>
            <w:tcBorders>
              <w:top w:val="single" w:color="000000" w:sz="4" w:space="0"/>
              <w:left w:val="nil"/>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卷帘传动机构</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樘</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15" w:hRule="atLeast"/>
        </w:trPr>
        <w:tc>
          <w:tcPr>
            <w:tcW w:w="1374" w:type="dxa"/>
            <w:vMerge w:val="continue"/>
            <w:tcBorders>
              <w:top w:val="single" w:color="000000" w:sz="4" w:space="0"/>
              <w:left w:val="single" w:color="auto"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7、</w:t>
            </w:r>
          </w:p>
        </w:tc>
        <w:tc>
          <w:tcPr>
            <w:tcW w:w="3524" w:type="dxa"/>
            <w:tcBorders>
              <w:top w:val="single" w:color="000000" w:sz="4" w:space="0"/>
              <w:left w:val="nil"/>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防火门安装质量</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樘</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476</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15" w:hRule="atLeast"/>
        </w:trPr>
        <w:tc>
          <w:tcPr>
            <w:tcW w:w="1374" w:type="dxa"/>
            <w:vMerge w:val="continue"/>
            <w:tcBorders>
              <w:top w:val="single" w:color="000000" w:sz="4" w:space="0"/>
              <w:left w:val="single" w:color="auto"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8、</w:t>
            </w:r>
          </w:p>
        </w:tc>
        <w:tc>
          <w:tcPr>
            <w:tcW w:w="3524" w:type="dxa"/>
            <w:tcBorders>
              <w:top w:val="single" w:color="000000" w:sz="4" w:space="0"/>
              <w:left w:val="nil"/>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防火门配件</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樘</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476</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15" w:hRule="atLeast"/>
        </w:trPr>
        <w:tc>
          <w:tcPr>
            <w:tcW w:w="1374" w:type="dxa"/>
            <w:vMerge w:val="restart"/>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性能检测</w:t>
            </w:r>
          </w:p>
        </w:tc>
        <w:tc>
          <w:tcPr>
            <w:tcW w:w="61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w:t>
            </w:r>
          </w:p>
        </w:tc>
        <w:tc>
          <w:tcPr>
            <w:tcW w:w="3524" w:type="dxa"/>
            <w:tcBorders>
              <w:top w:val="single" w:color="000000" w:sz="4" w:space="0"/>
              <w:left w:val="nil"/>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卷帘限位及窜动量</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樘</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1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帘板平均升降速度、平稳度</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樘</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1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w:t>
            </w:r>
          </w:p>
        </w:tc>
        <w:tc>
          <w:tcPr>
            <w:tcW w:w="352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卷帘机械应急操作功能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樘</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1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w:t>
            </w:r>
          </w:p>
        </w:tc>
        <w:tc>
          <w:tcPr>
            <w:tcW w:w="352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手动防火卷帘启动</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樘</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1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w:t>
            </w:r>
          </w:p>
        </w:tc>
        <w:tc>
          <w:tcPr>
            <w:tcW w:w="352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火灾探测联动试验</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次</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84</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1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352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火警状态下手动按钮操作功能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次</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84</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1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7、</w:t>
            </w:r>
          </w:p>
        </w:tc>
        <w:tc>
          <w:tcPr>
            <w:tcW w:w="352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火警状态下帘板的水幕状态</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次</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1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8、</w:t>
            </w:r>
          </w:p>
        </w:tc>
        <w:tc>
          <w:tcPr>
            <w:tcW w:w="352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信号反馈响应</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次</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84</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1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9、</w:t>
            </w:r>
          </w:p>
        </w:tc>
        <w:tc>
          <w:tcPr>
            <w:tcW w:w="352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防火门启闭性能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樘</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476</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1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10、</w:t>
            </w:r>
          </w:p>
        </w:tc>
        <w:tc>
          <w:tcPr>
            <w:tcW w:w="352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电控防火门启闭功能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樘</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0</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15" w:hRule="atLeast"/>
        </w:trPr>
        <w:tc>
          <w:tcPr>
            <w:tcW w:w="7884" w:type="dxa"/>
            <w:gridSpan w:val="5"/>
            <w:tcBorders>
              <w:top w:val="single" w:color="000000" w:sz="4" w:space="0"/>
              <w:left w:val="single" w:color="000000" w:sz="8" w:space="0"/>
              <w:bottom w:val="single" w:color="000000" w:sz="8"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费</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用</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小</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计</w:t>
            </w:r>
          </w:p>
        </w:tc>
        <w:tc>
          <w:tcPr>
            <w:tcW w:w="991" w:type="dxa"/>
            <w:tcBorders>
              <w:top w:val="single" w:color="000000" w:sz="4" w:space="0"/>
              <w:left w:val="single" w:color="000000" w:sz="4" w:space="0"/>
              <w:bottom w:val="single" w:color="000000" w:sz="8"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8875" w:type="dxa"/>
            <w:gridSpan w:val="6"/>
            <w:tcBorders>
              <w:top w:val="nil"/>
              <w:left w:val="nil"/>
              <w:bottom w:val="single" w:color="auto" w:sz="4" w:space="0"/>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黑体" w:hAnsi="宋体" w:eastAsia="黑体" w:cs="黑体"/>
                <w:b/>
                <w:i w:val="0"/>
                <w:color w:val="auto"/>
                <w:sz w:val="36"/>
                <w:szCs w:val="36"/>
                <w:u w:val="none"/>
              </w:rPr>
            </w:pPr>
            <w:r>
              <w:rPr>
                <w:rFonts w:hint="eastAsia" w:ascii="黑体" w:hAnsi="宋体" w:eastAsia="黑体" w:cs="黑体"/>
                <w:b/>
                <w:i w:val="0"/>
                <w:color w:val="auto"/>
                <w:kern w:val="0"/>
                <w:sz w:val="36"/>
                <w:szCs w:val="36"/>
                <w:u w:val="none"/>
                <w:lang w:val="en-US" w:eastAsia="zh-CN" w:bidi="ar"/>
              </w:rPr>
              <w:t>通风排烟阻火系统</w:t>
            </w:r>
          </w:p>
        </w:tc>
      </w:tr>
      <w:tr>
        <w:tblPrEx>
          <w:tblLayout w:type="fixed"/>
          <w:tblCellMar>
            <w:top w:w="0" w:type="dxa"/>
            <w:left w:w="0" w:type="dxa"/>
            <w:bottom w:w="0" w:type="dxa"/>
            <w:right w:w="0" w:type="dxa"/>
          </w:tblCellMar>
        </w:tblPrEx>
        <w:trPr>
          <w:trHeight w:val="375" w:hRule="atLeast"/>
        </w:trPr>
        <w:tc>
          <w:tcPr>
            <w:tcW w:w="1374"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检查类别</w:t>
            </w:r>
          </w:p>
        </w:tc>
        <w:tc>
          <w:tcPr>
            <w:tcW w:w="4140" w:type="dxa"/>
            <w:gridSpan w:val="2"/>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项</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目</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名</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称</w:t>
            </w:r>
          </w:p>
        </w:tc>
        <w:tc>
          <w:tcPr>
            <w:tcW w:w="139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计算单位</w:t>
            </w:r>
          </w:p>
        </w:tc>
        <w:tc>
          <w:tcPr>
            <w:tcW w:w="97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工作量</w:t>
            </w:r>
          </w:p>
        </w:tc>
        <w:tc>
          <w:tcPr>
            <w:tcW w:w="991"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备</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注</w:t>
            </w:r>
          </w:p>
        </w:tc>
      </w:tr>
      <w:tr>
        <w:tblPrEx>
          <w:tblLayout w:type="fixed"/>
          <w:tblCellMar>
            <w:top w:w="0" w:type="dxa"/>
            <w:left w:w="0" w:type="dxa"/>
            <w:bottom w:w="0" w:type="dxa"/>
            <w:right w:w="0" w:type="dxa"/>
          </w:tblCellMar>
        </w:tblPrEx>
        <w:trPr>
          <w:trHeight w:val="375" w:hRule="atLeast"/>
        </w:trPr>
        <w:tc>
          <w:tcPr>
            <w:tcW w:w="1374"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140" w:type="dxa"/>
            <w:gridSpan w:val="2"/>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39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91"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45" w:hRule="atLeast"/>
        </w:trPr>
        <w:tc>
          <w:tcPr>
            <w:tcW w:w="1374"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普通及安装检验</w:t>
            </w:r>
          </w:p>
        </w:tc>
        <w:tc>
          <w:tcPr>
            <w:tcW w:w="616" w:type="dxa"/>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w:t>
            </w:r>
          </w:p>
        </w:tc>
        <w:tc>
          <w:tcPr>
            <w:tcW w:w="3524"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风管道布置</w:t>
            </w:r>
          </w:p>
        </w:tc>
        <w:tc>
          <w:tcPr>
            <w:tcW w:w="139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w:t>
            </w:r>
          </w:p>
        </w:tc>
        <w:tc>
          <w:tcPr>
            <w:tcW w:w="9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42</w:t>
            </w:r>
          </w:p>
        </w:tc>
        <w:tc>
          <w:tcPr>
            <w:tcW w:w="99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45" w:hRule="atLeast"/>
        </w:trPr>
        <w:tc>
          <w:tcPr>
            <w:tcW w:w="1374" w:type="dxa"/>
            <w:vMerge w:val="continue"/>
            <w:tcBorders>
              <w:top w:val="single" w:color="auto" w:sz="4" w:space="0"/>
              <w:left w:val="single" w:color="auto"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auto" w:sz="4" w:space="0"/>
              <w:left w:val="single" w:color="000000" w:sz="4"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3524" w:type="dxa"/>
            <w:tcBorders>
              <w:top w:val="single" w:color="auto" w:sz="4" w:space="0"/>
              <w:left w:val="nil"/>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风机电源绝缘电阻</w:t>
            </w:r>
          </w:p>
        </w:tc>
        <w:tc>
          <w:tcPr>
            <w:tcW w:w="1395"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回路</w:t>
            </w:r>
          </w:p>
        </w:tc>
        <w:tc>
          <w:tcPr>
            <w:tcW w:w="97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51</w:t>
            </w:r>
          </w:p>
        </w:tc>
        <w:tc>
          <w:tcPr>
            <w:tcW w:w="991" w:type="dxa"/>
            <w:tcBorders>
              <w:top w:val="single" w:color="auto"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45" w:hRule="atLeast"/>
        </w:trPr>
        <w:tc>
          <w:tcPr>
            <w:tcW w:w="1374" w:type="dxa"/>
            <w:vMerge w:val="continue"/>
            <w:tcBorders>
              <w:top w:val="single" w:color="000000" w:sz="4" w:space="0"/>
              <w:left w:val="single" w:color="auto"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w:t>
            </w:r>
          </w:p>
        </w:tc>
        <w:tc>
          <w:tcPr>
            <w:tcW w:w="3524" w:type="dxa"/>
            <w:tcBorders>
              <w:top w:val="single" w:color="000000" w:sz="4" w:space="0"/>
              <w:left w:val="nil"/>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风机接地电阻</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处</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45" w:hRule="atLeast"/>
        </w:trPr>
        <w:tc>
          <w:tcPr>
            <w:tcW w:w="1374" w:type="dxa"/>
            <w:vMerge w:val="continue"/>
            <w:tcBorders>
              <w:top w:val="single" w:color="000000" w:sz="4" w:space="0"/>
              <w:left w:val="single" w:color="auto"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w:t>
            </w:r>
          </w:p>
        </w:tc>
        <w:tc>
          <w:tcPr>
            <w:tcW w:w="3524" w:type="dxa"/>
            <w:tcBorders>
              <w:top w:val="single" w:color="000000" w:sz="4" w:space="0"/>
              <w:left w:val="nil"/>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管道保温、隔热材料检查</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45" w:hRule="atLeast"/>
        </w:trPr>
        <w:tc>
          <w:tcPr>
            <w:tcW w:w="1374" w:type="dxa"/>
            <w:vMerge w:val="continue"/>
            <w:tcBorders>
              <w:top w:val="single" w:color="000000" w:sz="4" w:space="0"/>
              <w:left w:val="single" w:color="auto"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w:t>
            </w:r>
          </w:p>
        </w:tc>
        <w:tc>
          <w:tcPr>
            <w:tcW w:w="3524" w:type="dxa"/>
            <w:tcBorders>
              <w:top w:val="single" w:color="000000" w:sz="4" w:space="0"/>
              <w:left w:val="nil"/>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防排烟风机</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45" w:hRule="atLeast"/>
        </w:trPr>
        <w:tc>
          <w:tcPr>
            <w:tcW w:w="1374" w:type="dxa"/>
            <w:vMerge w:val="continue"/>
            <w:tcBorders>
              <w:top w:val="single" w:color="000000" w:sz="4" w:space="0"/>
              <w:left w:val="single" w:color="auto"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3524" w:type="dxa"/>
            <w:tcBorders>
              <w:top w:val="single" w:color="000000" w:sz="4" w:space="0"/>
              <w:left w:val="nil"/>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风口、防火阀、排烟阀</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处</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379</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45" w:hRule="atLeast"/>
        </w:trPr>
        <w:tc>
          <w:tcPr>
            <w:tcW w:w="1374" w:type="dxa"/>
            <w:vMerge w:val="continue"/>
            <w:tcBorders>
              <w:top w:val="single" w:color="000000" w:sz="4" w:space="0"/>
              <w:left w:val="single" w:color="auto" w:sz="4"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7、</w:t>
            </w:r>
          </w:p>
        </w:tc>
        <w:tc>
          <w:tcPr>
            <w:tcW w:w="3524" w:type="dxa"/>
            <w:tcBorders>
              <w:top w:val="single" w:color="000000" w:sz="4" w:space="0"/>
              <w:left w:val="nil"/>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风机电控柜（箱）</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台（个）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45" w:hRule="atLeast"/>
        </w:trPr>
        <w:tc>
          <w:tcPr>
            <w:tcW w:w="1374" w:type="dxa"/>
            <w:vMerge w:val="restart"/>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性能检测</w:t>
            </w:r>
          </w:p>
        </w:tc>
        <w:tc>
          <w:tcPr>
            <w:tcW w:w="61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w:t>
            </w:r>
          </w:p>
        </w:tc>
        <w:tc>
          <w:tcPr>
            <w:tcW w:w="3524" w:type="dxa"/>
            <w:tcBorders>
              <w:top w:val="single" w:color="000000" w:sz="4" w:space="0"/>
              <w:left w:val="nil"/>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系统设备功能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4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系统风速测试</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4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w:t>
            </w:r>
          </w:p>
        </w:tc>
        <w:tc>
          <w:tcPr>
            <w:tcW w:w="352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系统风压测试</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91</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4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w:t>
            </w:r>
          </w:p>
        </w:tc>
        <w:tc>
          <w:tcPr>
            <w:tcW w:w="352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系统通风排烟量</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24</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4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w:t>
            </w:r>
          </w:p>
        </w:tc>
        <w:tc>
          <w:tcPr>
            <w:tcW w:w="352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通风管道气体泄漏率</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4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352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远距离手动操作</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4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7、</w:t>
            </w:r>
          </w:p>
        </w:tc>
        <w:tc>
          <w:tcPr>
            <w:tcW w:w="352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联动控制风机启停</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4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8、</w:t>
            </w:r>
          </w:p>
        </w:tc>
        <w:tc>
          <w:tcPr>
            <w:tcW w:w="352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机械加压送风量</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27</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4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9、</w:t>
            </w:r>
          </w:p>
        </w:tc>
        <w:tc>
          <w:tcPr>
            <w:tcW w:w="352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风机主、备电源切换</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次</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4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nil"/>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10、</w:t>
            </w:r>
          </w:p>
        </w:tc>
        <w:tc>
          <w:tcPr>
            <w:tcW w:w="352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风口、排烟阀、防火阀联动</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次</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379</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645" w:hRule="atLeast"/>
        </w:trPr>
        <w:tc>
          <w:tcPr>
            <w:tcW w:w="7884" w:type="dxa"/>
            <w:gridSpan w:val="5"/>
            <w:tcBorders>
              <w:top w:val="single" w:color="000000" w:sz="4" w:space="0"/>
              <w:left w:val="single" w:color="000000" w:sz="8" w:space="0"/>
              <w:bottom w:val="single" w:color="000000" w:sz="8"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费</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用</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小</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计</w:t>
            </w:r>
          </w:p>
        </w:tc>
        <w:tc>
          <w:tcPr>
            <w:tcW w:w="991" w:type="dxa"/>
            <w:tcBorders>
              <w:top w:val="single" w:color="000000" w:sz="4" w:space="0"/>
              <w:left w:val="single" w:color="000000" w:sz="4" w:space="0"/>
              <w:bottom w:val="single" w:color="000000" w:sz="8"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8875" w:type="dxa"/>
            <w:gridSpan w:val="6"/>
            <w:tcBorders>
              <w:top w:val="nil"/>
              <w:left w:val="nil"/>
              <w:bottom w:val="single" w:color="auto" w:sz="4" w:space="0"/>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黑体" w:hAnsi="宋体" w:eastAsia="黑体" w:cs="黑体"/>
                <w:b/>
                <w:i w:val="0"/>
                <w:color w:val="auto"/>
                <w:sz w:val="36"/>
                <w:szCs w:val="36"/>
                <w:u w:val="none"/>
              </w:rPr>
            </w:pPr>
            <w:r>
              <w:rPr>
                <w:rFonts w:hint="eastAsia" w:ascii="黑体" w:hAnsi="宋体" w:eastAsia="黑体" w:cs="黑体"/>
                <w:b/>
                <w:i w:val="0"/>
                <w:color w:val="auto"/>
                <w:kern w:val="0"/>
                <w:sz w:val="36"/>
                <w:szCs w:val="36"/>
                <w:u w:val="none"/>
                <w:lang w:val="en-US" w:eastAsia="zh-CN" w:bidi="ar"/>
              </w:rPr>
              <w:t>电源监控系统</w:t>
            </w:r>
          </w:p>
        </w:tc>
      </w:tr>
      <w:tr>
        <w:tblPrEx>
          <w:tblLayout w:type="fixed"/>
          <w:tblCellMar>
            <w:top w:w="0" w:type="dxa"/>
            <w:left w:w="0" w:type="dxa"/>
            <w:bottom w:w="0" w:type="dxa"/>
            <w:right w:w="0" w:type="dxa"/>
          </w:tblCellMar>
        </w:tblPrEx>
        <w:trPr>
          <w:trHeight w:val="375" w:hRule="atLeast"/>
        </w:trPr>
        <w:tc>
          <w:tcPr>
            <w:tcW w:w="1374"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检查类别</w:t>
            </w:r>
          </w:p>
        </w:tc>
        <w:tc>
          <w:tcPr>
            <w:tcW w:w="4140" w:type="dxa"/>
            <w:gridSpan w:val="2"/>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项</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目</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名</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称</w:t>
            </w:r>
          </w:p>
        </w:tc>
        <w:tc>
          <w:tcPr>
            <w:tcW w:w="139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计算单位</w:t>
            </w:r>
          </w:p>
        </w:tc>
        <w:tc>
          <w:tcPr>
            <w:tcW w:w="97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工作量</w:t>
            </w:r>
          </w:p>
        </w:tc>
        <w:tc>
          <w:tcPr>
            <w:tcW w:w="991"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备</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注</w:t>
            </w:r>
          </w:p>
        </w:tc>
      </w:tr>
      <w:tr>
        <w:tblPrEx>
          <w:tblLayout w:type="fixed"/>
          <w:tblCellMar>
            <w:top w:w="0" w:type="dxa"/>
            <w:left w:w="0" w:type="dxa"/>
            <w:bottom w:w="0" w:type="dxa"/>
            <w:right w:w="0" w:type="dxa"/>
          </w:tblCellMar>
        </w:tblPrEx>
        <w:trPr>
          <w:trHeight w:val="210" w:hRule="atLeast"/>
        </w:trPr>
        <w:tc>
          <w:tcPr>
            <w:tcW w:w="1374" w:type="dxa"/>
            <w:vMerge w:val="continue"/>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140" w:type="dxa"/>
            <w:gridSpan w:val="2"/>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395"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75"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91" w:type="dxa"/>
            <w:vMerge w:val="continue"/>
            <w:tcBorders>
              <w:top w:val="single" w:color="auto" w:sz="4" w:space="0"/>
              <w:left w:val="single" w:color="000000"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restart"/>
            <w:tcBorders>
              <w:top w:val="single" w:color="auto" w:sz="4" w:space="0"/>
              <w:left w:val="single" w:color="000000" w:sz="8"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普通及安装检验</w:t>
            </w:r>
          </w:p>
        </w:tc>
        <w:tc>
          <w:tcPr>
            <w:tcW w:w="616" w:type="dxa"/>
            <w:tcBorders>
              <w:top w:val="single" w:color="auto"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w:t>
            </w:r>
          </w:p>
        </w:tc>
        <w:tc>
          <w:tcPr>
            <w:tcW w:w="3524"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火灾探测器安装</w:t>
            </w:r>
          </w:p>
        </w:tc>
        <w:tc>
          <w:tcPr>
            <w:tcW w:w="1395"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只</w:t>
            </w:r>
          </w:p>
        </w:tc>
        <w:tc>
          <w:tcPr>
            <w:tcW w:w="97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59</w:t>
            </w:r>
          </w:p>
        </w:tc>
        <w:tc>
          <w:tcPr>
            <w:tcW w:w="991" w:type="dxa"/>
            <w:tcBorders>
              <w:top w:val="single" w:color="auto"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系统布线</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防火分区</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59</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系统绝缘电阻</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回路</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系统接地电阻</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处</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报警控制器</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restart"/>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性能检测</w:t>
            </w: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报警控制器基本功能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探测器报警功能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59</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各消防系统的联动控制功能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报警控制器配电及其消防电源</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回路</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备用电池充放电功能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次</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7884" w:type="dxa"/>
            <w:gridSpan w:val="5"/>
            <w:tcBorders>
              <w:top w:val="single" w:color="000000" w:sz="4" w:space="0"/>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费</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用</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小</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计</w:t>
            </w:r>
          </w:p>
        </w:tc>
        <w:tc>
          <w:tcPr>
            <w:tcW w:w="991" w:type="dxa"/>
            <w:tcBorders>
              <w:top w:val="single" w:color="000000" w:sz="4" w:space="0"/>
              <w:left w:val="single" w:color="000000" w:sz="4" w:space="0"/>
              <w:bottom w:val="single" w:color="000000" w:sz="8"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8875" w:type="dxa"/>
            <w:gridSpan w:val="6"/>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黑体" w:hAnsi="宋体" w:eastAsia="黑体" w:cs="黑体"/>
                <w:b/>
                <w:i w:val="0"/>
                <w:color w:val="auto"/>
                <w:sz w:val="36"/>
                <w:szCs w:val="36"/>
                <w:u w:val="none"/>
              </w:rPr>
            </w:pPr>
            <w:r>
              <w:rPr>
                <w:rFonts w:hint="eastAsia" w:ascii="黑体" w:hAnsi="宋体" w:eastAsia="黑体" w:cs="黑体"/>
                <w:b/>
                <w:i w:val="0"/>
                <w:color w:val="auto"/>
                <w:kern w:val="0"/>
                <w:sz w:val="36"/>
                <w:szCs w:val="36"/>
                <w:u w:val="none"/>
                <w:lang w:val="en-US" w:eastAsia="zh-CN" w:bidi="ar"/>
              </w:rPr>
              <w:t>电气火灾监控系统</w:t>
            </w:r>
          </w:p>
        </w:tc>
      </w:tr>
      <w:tr>
        <w:tblPrEx>
          <w:tblLayout w:type="fixed"/>
          <w:tblCellMar>
            <w:top w:w="0" w:type="dxa"/>
            <w:left w:w="0" w:type="dxa"/>
            <w:bottom w:w="0" w:type="dxa"/>
            <w:right w:w="0" w:type="dxa"/>
          </w:tblCellMar>
        </w:tblPrEx>
        <w:trPr>
          <w:trHeight w:val="375" w:hRule="atLeast"/>
        </w:trPr>
        <w:tc>
          <w:tcPr>
            <w:tcW w:w="1374" w:type="dxa"/>
            <w:vMerge w:val="restart"/>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检查类别</w:t>
            </w:r>
          </w:p>
        </w:tc>
        <w:tc>
          <w:tcPr>
            <w:tcW w:w="4140" w:type="dxa"/>
            <w:gridSpan w:val="2"/>
            <w:vMerge w:val="restart"/>
            <w:tcBorders>
              <w:top w:val="single" w:color="000000" w:sz="8"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项</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目</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名</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称</w:t>
            </w:r>
          </w:p>
        </w:tc>
        <w:tc>
          <w:tcPr>
            <w:tcW w:w="1395" w:type="dxa"/>
            <w:vMerge w:val="restart"/>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计算单位</w:t>
            </w:r>
          </w:p>
        </w:tc>
        <w:tc>
          <w:tcPr>
            <w:tcW w:w="975" w:type="dxa"/>
            <w:vMerge w:val="restart"/>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工作量</w:t>
            </w:r>
          </w:p>
        </w:tc>
        <w:tc>
          <w:tcPr>
            <w:tcW w:w="991" w:type="dxa"/>
            <w:vMerge w:val="restart"/>
            <w:tcBorders>
              <w:top w:val="single" w:color="000000" w:sz="8"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备</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注</w:t>
            </w:r>
          </w:p>
        </w:tc>
      </w:tr>
      <w:tr>
        <w:tblPrEx>
          <w:tblLayout w:type="fixed"/>
          <w:tblCellMar>
            <w:top w:w="0" w:type="dxa"/>
            <w:left w:w="0" w:type="dxa"/>
            <w:bottom w:w="0" w:type="dxa"/>
            <w:right w:w="0" w:type="dxa"/>
          </w:tblCellMar>
        </w:tblPrEx>
        <w:trPr>
          <w:trHeight w:val="240" w:hRule="atLeast"/>
        </w:trPr>
        <w:tc>
          <w:tcPr>
            <w:tcW w:w="1374"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140" w:type="dxa"/>
            <w:gridSpan w:val="2"/>
            <w:vMerge w:val="continue"/>
            <w:tcBorders>
              <w:top w:val="single" w:color="000000" w:sz="8"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395" w:type="dxa"/>
            <w:vMerge w:val="continue"/>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75" w:type="dxa"/>
            <w:vMerge w:val="continue"/>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91" w:type="dxa"/>
            <w:vMerge w:val="continue"/>
            <w:tcBorders>
              <w:top w:val="single" w:color="000000" w:sz="8"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65" w:hRule="atLeast"/>
        </w:trPr>
        <w:tc>
          <w:tcPr>
            <w:tcW w:w="1374" w:type="dxa"/>
            <w:vMerge w:val="restart"/>
            <w:tcBorders>
              <w:top w:val="single" w:color="000000" w:sz="4" w:space="0"/>
              <w:left w:val="single" w:color="000000" w:sz="8"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普通及安装检验</w:t>
            </w: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火灾探测器安装</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85</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65" w:hRule="atLeast"/>
        </w:trPr>
        <w:tc>
          <w:tcPr>
            <w:tcW w:w="1374" w:type="dxa"/>
            <w:vMerge w:val="continue"/>
            <w:tcBorders>
              <w:top w:val="single" w:color="000000" w:sz="4" w:space="0"/>
              <w:left w:val="single" w:color="000000" w:sz="8" w:space="0"/>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系统布线</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防火分区</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85</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65" w:hRule="atLeast"/>
        </w:trPr>
        <w:tc>
          <w:tcPr>
            <w:tcW w:w="1374" w:type="dxa"/>
            <w:vMerge w:val="continue"/>
            <w:tcBorders>
              <w:top w:val="single" w:color="000000" w:sz="4" w:space="0"/>
              <w:left w:val="single" w:color="000000" w:sz="8" w:space="0"/>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系统绝缘电阻</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回路</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65" w:hRule="atLeast"/>
        </w:trPr>
        <w:tc>
          <w:tcPr>
            <w:tcW w:w="1374" w:type="dxa"/>
            <w:vMerge w:val="continue"/>
            <w:tcBorders>
              <w:top w:val="single" w:color="000000" w:sz="4" w:space="0"/>
              <w:left w:val="single" w:color="000000" w:sz="8" w:space="0"/>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系统接地电阻</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处</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65" w:hRule="atLeast"/>
        </w:trPr>
        <w:tc>
          <w:tcPr>
            <w:tcW w:w="1374" w:type="dxa"/>
            <w:vMerge w:val="continue"/>
            <w:tcBorders>
              <w:top w:val="single" w:color="000000" w:sz="4" w:space="0"/>
              <w:left w:val="single" w:color="000000" w:sz="8" w:space="0"/>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报警控制器</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65" w:hRule="atLeast"/>
        </w:trPr>
        <w:tc>
          <w:tcPr>
            <w:tcW w:w="1374" w:type="dxa"/>
            <w:vMerge w:val="restart"/>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性能检测</w:t>
            </w: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报警控制器基本功能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6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探测器报警功能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85</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6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各消防系统的联动控制功能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系统</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6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报警控制器配电及其消防电源</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回路</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65" w:hRule="atLeast"/>
        </w:trPr>
        <w:tc>
          <w:tcPr>
            <w:tcW w:w="1374" w:type="dxa"/>
            <w:vMerge w:val="continue"/>
            <w:tcBorders>
              <w:top w:val="single" w:color="000000" w:sz="4" w:space="0"/>
              <w:left w:val="single" w:color="000000" w:sz="8" w:space="0"/>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16"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w:t>
            </w:r>
          </w:p>
        </w:tc>
        <w:tc>
          <w:tcPr>
            <w:tcW w:w="352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备用电池充放电功能</w:t>
            </w:r>
          </w:p>
        </w:tc>
        <w:tc>
          <w:tcPr>
            <w:tcW w:w="139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次</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6</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65" w:hRule="atLeast"/>
        </w:trPr>
        <w:tc>
          <w:tcPr>
            <w:tcW w:w="7884" w:type="dxa"/>
            <w:gridSpan w:val="5"/>
            <w:tcBorders>
              <w:top w:val="single" w:color="000000" w:sz="4" w:space="0"/>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费</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用</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小</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计</w:t>
            </w:r>
          </w:p>
        </w:tc>
        <w:tc>
          <w:tcPr>
            <w:tcW w:w="991" w:type="dxa"/>
            <w:tcBorders>
              <w:top w:val="single" w:color="000000" w:sz="4" w:space="0"/>
              <w:left w:val="single" w:color="000000" w:sz="4" w:space="0"/>
              <w:bottom w:val="single" w:color="000000" w:sz="8" w:space="0"/>
              <w:right w:val="single" w:color="000000" w:sz="8"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450" w:hRule="atLeast"/>
        </w:trPr>
        <w:tc>
          <w:tcPr>
            <w:tcW w:w="8875" w:type="dxa"/>
            <w:gridSpan w:val="6"/>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黑体" w:hAnsi="宋体" w:eastAsia="黑体" w:cs="黑体"/>
                <w:b/>
                <w:i w:val="0"/>
                <w:color w:val="auto"/>
                <w:kern w:val="0"/>
                <w:sz w:val="36"/>
                <w:szCs w:val="36"/>
                <w:u w:val="none"/>
                <w:lang w:val="en-US" w:eastAsia="zh-CN" w:bidi="ar"/>
              </w:rPr>
            </w:pPr>
          </w:p>
          <w:p>
            <w:pPr>
              <w:keepNext w:val="0"/>
              <w:keepLines w:val="0"/>
              <w:widowControl/>
              <w:suppressLineNumbers w:val="0"/>
              <w:jc w:val="center"/>
              <w:textAlignment w:val="bottom"/>
              <w:rPr>
                <w:rFonts w:hint="eastAsia" w:ascii="黑体" w:hAnsi="宋体" w:eastAsia="黑体" w:cs="黑体"/>
                <w:b/>
                <w:i w:val="0"/>
                <w:color w:val="auto"/>
                <w:sz w:val="36"/>
                <w:szCs w:val="36"/>
                <w:u w:val="none"/>
              </w:rPr>
            </w:pPr>
            <w:r>
              <w:rPr>
                <w:rFonts w:hint="eastAsia" w:ascii="黑体" w:hAnsi="宋体" w:eastAsia="黑体" w:cs="黑体"/>
                <w:b/>
                <w:i w:val="0"/>
                <w:color w:val="auto"/>
                <w:kern w:val="0"/>
                <w:sz w:val="36"/>
                <w:szCs w:val="36"/>
                <w:u w:val="none"/>
                <w:lang w:val="en-US" w:eastAsia="zh-CN" w:bidi="ar"/>
              </w:rPr>
              <w:t>建筑电气防火安全检测</w:t>
            </w:r>
          </w:p>
        </w:tc>
      </w:tr>
      <w:tr>
        <w:tblPrEx>
          <w:tblLayout w:type="fixed"/>
          <w:tblCellMar>
            <w:top w:w="0" w:type="dxa"/>
            <w:left w:w="0" w:type="dxa"/>
            <w:bottom w:w="0" w:type="dxa"/>
            <w:right w:w="0" w:type="dxa"/>
          </w:tblCellMar>
        </w:tblPrEx>
        <w:trPr>
          <w:trHeight w:val="375" w:hRule="atLeast"/>
        </w:trPr>
        <w:tc>
          <w:tcPr>
            <w:tcW w:w="1374" w:type="dxa"/>
            <w:vMerge w:val="restart"/>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检测部位</w:t>
            </w:r>
          </w:p>
        </w:tc>
        <w:tc>
          <w:tcPr>
            <w:tcW w:w="4140" w:type="dxa"/>
            <w:gridSpan w:val="2"/>
            <w:vMerge w:val="restart"/>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检测项目</w:t>
            </w:r>
          </w:p>
        </w:tc>
        <w:tc>
          <w:tcPr>
            <w:tcW w:w="1395" w:type="dxa"/>
            <w:vMerge w:val="restart"/>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计算单位</w:t>
            </w:r>
          </w:p>
        </w:tc>
        <w:tc>
          <w:tcPr>
            <w:tcW w:w="975" w:type="dxa"/>
            <w:vMerge w:val="restart"/>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工作量</w:t>
            </w:r>
          </w:p>
        </w:tc>
        <w:tc>
          <w:tcPr>
            <w:tcW w:w="991" w:type="dxa"/>
            <w:vMerge w:val="restart"/>
            <w:tcBorders>
              <w:top w:val="single" w:color="000000" w:sz="8"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使用性质</w:t>
            </w:r>
          </w:p>
        </w:tc>
      </w:tr>
      <w:tr>
        <w:tblPrEx>
          <w:tblLayout w:type="fixed"/>
          <w:tblCellMar>
            <w:top w:w="0" w:type="dxa"/>
            <w:left w:w="0" w:type="dxa"/>
            <w:bottom w:w="0" w:type="dxa"/>
            <w:right w:w="0" w:type="dxa"/>
          </w:tblCellMar>
        </w:tblPrEx>
        <w:trPr>
          <w:trHeight w:val="375" w:hRule="atLeast"/>
        </w:trPr>
        <w:tc>
          <w:tcPr>
            <w:tcW w:w="1374"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140" w:type="dxa"/>
            <w:gridSpan w:val="2"/>
            <w:vMerge w:val="continue"/>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395" w:type="dxa"/>
            <w:vMerge w:val="continue"/>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75" w:type="dxa"/>
            <w:vMerge w:val="continue"/>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91" w:type="dxa"/>
            <w:vMerge w:val="continue"/>
            <w:tcBorders>
              <w:top w:val="single" w:color="000000" w:sz="8"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720" w:hRule="atLeast"/>
        </w:trPr>
        <w:tc>
          <w:tcPr>
            <w:tcW w:w="1374" w:type="dxa"/>
            <w:vMerge w:val="restart"/>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14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低压配电装置</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平方米</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需符合规范要求</w:t>
            </w:r>
          </w:p>
        </w:tc>
        <w:tc>
          <w:tcPr>
            <w:tcW w:w="991" w:type="dxa"/>
            <w:vMerge w:val="restart"/>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720" w:hRule="atLeast"/>
        </w:trPr>
        <w:tc>
          <w:tcPr>
            <w:tcW w:w="1374"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14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动力配电线路</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91" w:type="dxa"/>
            <w:vMerge w:val="continue"/>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720" w:hRule="atLeast"/>
        </w:trPr>
        <w:tc>
          <w:tcPr>
            <w:tcW w:w="1374"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14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动力配电箱、控制箱</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91" w:type="dxa"/>
            <w:vMerge w:val="continue"/>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720" w:hRule="atLeast"/>
        </w:trPr>
        <w:tc>
          <w:tcPr>
            <w:tcW w:w="1374"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14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动力用电装置</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91" w:type="dxa"/>
            <w:vMerge w:val="continue"/>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720" w:hRule="atLeast"/>
        </w:trPr>
        <w:tc>
          <w:tcPr>
            <w:tcW w:w="1374"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14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照明配电线路</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91" w:type="dxa"/>
            <w:vMerge w:val="continue"/>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720" w:hRule="atLeast"/>
        </w:trPr>
        <w:tc>
          <w:tcPr>
            <w:tcW w:w="1374"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14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照明配电箱、计量箱</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91" w:type="dxa"/>
            <w:vMerge w:val="continue"/>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720" w:hRule="atLeast"/>
        </w:trPr>
        <w:tc>
          <w:tcPr>
            <w:tcW w:w="1374" w:type="dxa"/>
            <w:vMerge w:val="continue"/>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414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照明灯具、开关、插座、小电器</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991" w:type="dxa"/>
            <w:vMerge w:val="continue"/>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720" w:hRule="atLeast"/>
        </w:trPr>
        <w:tc>
          <w:tcPr>
            <w:tcW w:w="7884" w:type="dxa"/>
            <w:gridSpan w:val="5"/>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费</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用</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小</w:t>
            </w:r>
            <w:r>
              <w:rPr>
                <w:rFonts w:hint="default" w:ascii="Times New Roman" w:hAnsi="Times New Roman" w:eastAsia="宋体" w:cs="Times New Roman"/>
                <w:i w:val="0"/>
                <w:color w:val="auto"/>
                <w:kern w:val="0"/>
                <w:sz w:val="24"/>
                <w:szCs w:val="24"/>
                <w:u w:val="none"/>
                <w:lang w:val="en-US" w:eastAsia="zh-CN" w:bidi="ar"/>
              </w:rPr>
              <w:t xml:space="preserve">  </w:t>
            </w:r>
            <w:r>
              <w:rPr>
                <w:rFonts w:hint="eastAsia" w:ascii="宋体" w:hAnsi="宋体" w:eastAsia="宋体" w:cs="宋体"/>
                <w:i w:val="0"/>
                <w:color w:val="auto"/>
                <w:kern w:val="0"/>
                <w:sz w:val="24"/>
                <w:szCs w:val="24"/>
                <w:u w:val="none"/>
                <w:lang w:val="en-US" w:eastAsia="zh-CN" w:bidi="ar"/>
              </w:rPr>
              <w:t>计</w:t>
            </w:r>
          </w:p>
        </w:tc>
        <w:tc>
          <w:tcPr>
            <w:tcW w:w="991" w:type="dxa"/>
            <w:tcBorders>
              <w:top w:val="single" w:color="000000" w:sz="4" w:space="0"/>
              <w:left w:val="single" w:color="000000" w:sz="4" w:space="0"/>
              <w:bottom w:val="single" w:color="000000" w:sz="4" w:space="0"/>
              <w:right w:val="single" w:color="000000" w:sz="8"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tblLayout w:type="fixed"/>
          <w:tblCellMar>
            <w:top w:w="0" w:type="dxa"/>
            <w:left w:w="0" w:type="dxa"/>
            <w:bottom w:w="0" w:type="dxa"/>
            <w:right w:w="0" w:type="dxa"/>
          </w:tblCellMar>
        </w:tblPrEx>
        <w:trPr>
          <w:trHeight w:val="930" w:hRule="atLeast"/>
        </w:trPr>
        <w:tc>
          <w:tcPr>
            <w:tcW w:w="8875" w:type="dxa"/>
            <w:gridSpan w:val="6"/>
            <w:tcBorders>
              <w:top w:val="single" w:color="000000" w:sz="4" w:space="0"/>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b/>
                <w:i w:val="0"/>
                <w:color w:val="auto"/>
                <w:sz w:val="24"/>
                <w:szCs w:val="24"/>
                <w:u w:val="none"/>
              </w:rPr>
            </w:pPr>
            <w:r>
              <w:rPr>
                <w:rFonts w:hint="default" w:ascii="Times New Roman" w:hAnsi="Times New Roman" w:eastAsia="宋体" w:cs="Times New Roman"/>
                <w:b/>
                <w:i w:val="0"/>
                <w:color w:val="auto"/>
                <w:kern w:val="0"/>
                <w:sz w:val="24"/>
                <w:szCs w:val="24"/>
                <w:u w:val="none"/>
                <w:lang w:val="en-US" w:eastAsia="zh-CN" w:bidi="ar"/>
              </w:rPr>
              <w:t xml:space="preserve">      </w:t>
            </w:r>
            <w:r>
              <w:rPr>
                <w:rFonts w:hint="eastAsia" w:ascii="宋体" w:hAnsi="宋体" w:eastAsia="宋体" w:cs="宋体"/>
                <w:b/>
                <w:i w:val="0"/>
                <w:color w:val="auto"/>
                <w:kern w:val="0"/>
                <w:sz w:val="24"/>
                <w:szCs w:val="24"/>
                <w:u w:val="none"/>
                <w:lang w:val="en-US" w:eastAsia="zh-CN" w:bidi="ar"/>
              </w:rPr>
              <w:t>备注：</w:t>
            </w:r>
            <w:r>
              <w:rPr>
                <w:rFonts w:hint="eastAsia" w:ascii="宋体" w:hAnsi="宋体" w:eastAsia="宋体" w:cs="宋体"/>
                <w:i w:val="0"/>
                <w:color w:val="auto"/>
                <w:kern w:val="0"/>
                <w:sz w:val="24"/>
                <w:szCs w:val="24"/>
                <w:u w:val="none"/>
                <w:lang w:val="en-US" w:eastAsia="zh-CN" w:bidi="ar"/>
              </w:rPr>
              <w:t>利用红外热像仪、红外测温仪、超声波探测仪、线路跟踪仪、漏电测试仪、数字电流表、绝缘电阻测试仪、接地电阻测试仪等现代高科技仪器进行检测，有利于及时、科学发现可能引起电气火灾的存在的、潜在的电气隐患。</w:t>
            </w:r>
          </w:p>
        </w:tc>
      </w:tr>
    </w:tbl>
    <w:p>
      <w:pPr>
        <w:keepNext w:val="0"/>
        <w:keepLines w:val="0"/>
        <w:pageBreakBefore w:val="0"/>
        <w:widowControl w:val="0"/>
        <w:kinsoku/>
        <w:wordWrap/>
        <w:overflowPunct/>
        <w:topLinePunct w:val="0"/>
        <w:autoSpaceDE/>
        <w:autoSpaceDN/>
        <w:bidi w:val="0"/>
        <w:adjustRightInd/>
        <w:snapToGrid/>
        <w:spacing w:line="510" w:lineRule="exact"/>
        <w:ind w:left="0" w:leftChars="0" w:right="0" w:rightChars="0"/>
        <w:jc w:val="left"/>
        <w:textAlignment w:val="auto"/>
        <w:outlineLvl w:val="9"/>
        <w:rPr>
          <w:rFonts w:hint="eastAsia"/>
          <w:color w:val="auto"/>
          <w:sz w:val="24"/>
        </w:rPr>
      </w:pPr>
    </w:p>
    <w:sectPr>
      <w:headerReference r:id="rId6" w:type="default"/>
      <w:footerReference r:id="rId7" w:type="default"/>
      <w:pgSz w:w="11906" w:h="16838"/>
      <w:pgMar w:top="2041" w:right="1474" w:bottom="1814" w:left="1587" w:header="851" w:footer="992" w:gutter="0"/>
      <w:pgNumType w:fmt="decimal"/>
      <w:cols w:space="72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7&#10;pqW7twEAAFQDAAAOAAAAAAAAAAEAIAAAAB4BAABkcnMvZTJvRG9jLnhtbFBLBQYAAAAABgAGAFkB&#10;AABHBQ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v:fill on="f" focussize="0,0"/>
              <v:stroke on="f"/>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EsWargBAABUAwAADgAAAGRycy9lMm9Eb2MueG1srVPBThsxEL1X4h8s&#10;35tdI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dEsWargBAABUAwAADgAAAAAAAAABACAAAAAeAQAAZHJzL2Uyb0RvYy54bWxQSwUGAAAAAAYABgBZ&#10;AQAASAU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6"/>
                            <w:jc w:val="left"/>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Dp&#10;Z8kWtwEAAFQDAAAOAAAAAAAAAAEAIAAAAB4BAABkcnMvZTJvRG9jLnhtbFBLBQYAAAAABgAGAFkB&#10;AABHBQAAAAA=&#10;">
              <v:fill on="f" focussize="0,0"/>
              <v:stroke on="f"/>
              <v:imagedata o:title=""/>
              <o:lock v:ext="edit" aspectratio="f"/>
              <v:textbox inset="0mm,0mm,0mm,0mm" style="mso-fit-shape-to-text:t;">
                <w:txbxContent>
                  <w:p>
                    <w:pPr>
                      <w:pStyle w:val="6"/>
                      <w:jc w:val="left"/>
                    </w:pPr>
                  </w:p>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rPr>
        <w:rFonts w:hint="eastAsia" w:eastAsia="宋体"/>
        <w:lang w:eastAsia="zh-CN"/>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７</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７</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E83D33"/>
    <w:rsid w:val="007C120D"/>
    <w:rsid w:val="04120E1C"/>
    <w:rsid w:val="042424AB"/>
    <w:rsid w:val="0764209F"/>
    <w:rsid w:val="0B642442"/>
    <w:rsid w:val="0BAC44BB"/>
    <w:rsid w:val="11BA4676"/>
    <w:rsid w:val="1A621B9F"/>
    <w:rsid w:val="1CE86DC4"/>
    <w:rsid w:val="1D254070"/>
    <w:rsid w:val="1F981DA5"/>
    <w:rsid w:val="1FAE0A42"/>
    <w:rsid w:val="21D40749"/>
    <w:rsid w:val="227F0F1E"/>
    <w:rsid w:val="238A6BA3"/>
    <w:rsid w:val="23BF0764"/>
    <w:rsid w:val="26514774"/>
    <w:rsid w:val="29AF1429"/>
    <w:rsid w:val="2ABC20FA"/>
    <w:rsid w:val="2B89450B"/>
    <w:rsid w:val="2CB22C74"/>
    <w:rsid w:val="2CD26FE4"/>
    <w:rsid w:val="340C0396"/>
    <w:rsid w:val="3479511E"/>
    <w:rsid w:val="37B96620"/>
    <w:rsid w:val="38A754A6"/>
    <w:rsid w:val="3A1D671D"/>
    <w:rsid w:val="3AAD0DEA"/>
    <w:rsid w:val="3B4F2767"/>
    <w:rsid w:val="3DED63A3"/>
    <w:rsid w:val="40BA3CCB"/>
    <w:rsid w:val="4A42706F"/>
    <w:rsid w:val="4AF779CB"/>
    <w:rsid w:val="4B9A037E"/>
    <w:rsid w:val="4BE51867"/>
    <w:rsid w:val="503A6B3E"/>
    <w:rsid w:val="522F4204"/>
    <w:rsid w:val="5238274F"/>
    <w:rsid w:val="54B17B96"/>
    <w:rsid w:val="54E11874"/>
    <w:rsid w:val="54FD5331"/>
    <w:rsid w:val="56E83D33"/>
    <w:rsid w:val="5BEB4124"/>
    <w:rsid w:val="5D311C50"/>
    <w:rsid w:val="5EF30D0B"/>
    <w:rsid w:val="62ED371C"/>
    <w:rsid w:val="64563308"/>
    <w:rsid w:val="65A013D8"/>
    <w:rsid w:val="675246F7"/>
    <w:rsid w:val="68951B0E"/>
    <w:rsid w:val="697252E4"/>
    <w:rsid w:val="698A5932"/>
    <w:rsid w:val="6A362CBE"/>
    <w:rsid w:val="6B2442DF"/>
    <w:rsid w:val="6D535020"/>
    <w:rsid w:val="7047000E"/>
    <w:rsid w:val="72467429"/>
    <w:rsid w:val="74C529ED"/>
    <w:rsid w:val="757C42B7"/>
    <w:rsid w:val="75A859FE"/>
    <w:rsid w:val="78C57675"/>
    <w:rsid w:val="79443106"/>
    <w:rsid w:val="7B4C5022"/>
    <w:rsid w:val="7B8344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unhideWhenUsed/>
    <w:qFormat/>
    <w:uiPriority w:val="99"/>
    <w:pPr>
      <w:spacing w:line="240" w:lineRule="atLeast"/>
      <w:ind w:firstLine="420" w:firstLineChars="200"/>
    </w:pPr>
    <w:rPr>
      <w:sz w:val="32"/>
    </w:rPr>
  </w:style>
  <w:style w:type="paragraph" w:styleId="3">
    <w:name w:val="annotation text"/>
    <w:basedOn w:val="1"/>
    <w:unhideWhenUsed/>
    <w:qFormat/>
    <w:uiPriority w:val="0"/>
    <w:pPr>
      <w:jc w:val="left"/>
    </w:pPr>
    <w:rPr>
      <w:rFonts w:ascii="Times New Roman" w:hAnsi="Times New Roman"/>
      <w:szCs w:val="24"/>
    </w:rPr>
  </w:style>
  <w:style w:type="paragraph" w:styleId="4">
    <w:name w:val="Body Text Indent"/>
    <w:basedOn w:val="1"/>
    <w:unhideWhenUsed/>
    <w:qFormat/>
    <w:uiPriority w:val="99"/>
    <w:pPr>
      <w:ind w:left="645"/>
    </w:pPr>
    <w:rPr>
      <w:kern w:val="2"/>
      <w:sz w:val="28"/>
      <w:szCs w:val="24"/>
    </w:rPr>
  </w:style>
  <w:style w:type="paragraph" w:styleId="5">
    <w:name w:val="Plain Text"/>
    <w:basedOn w:val="1"/>
    <w:qFormat/>
    <w:uiPriority w:val="0"/>
    <w:rPr>
      <w:rFonts w:ascii="宋体" w:hAnsi="Courier New"/>
      <w:szCs w:val="24"/>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2">
    <w:name w:val="page number"/>
    <w:basedOn w:val="11"/>
    <w:unhideWhenUsed/>
    <w:qFormat/>
    <w:uiPriority w:val="99"/>
  </w:style>
  <w:style w:type="character" w:styleId="13">
    <w:name w:val="Hyperlink"/>
    <w:unhideWhenUsed/>
    <w:qFormat/>
    <w:uiPriority w:val="99"/>
    <w:rPr>
      <w:color w:val="0000FF"/>
      <w:u w:val="single"/>
    </w:rPr>
  </w:style>
  <w:style w:type="paragraph" w:customStyle="1" w:styleId="14">
    <w:name w:val="_Style 2"/>
    <w:basedOn w:val="1"/>
    <w:qFormat/>
    <w:uiPriority w:val="0"/>
    <w:pPr>
      <w:ind w:firstLine="420" w:firstLineChars="200"/>
    </w:pPr>
    <w:rPr>
      <w:rFonts w:ascii="Calibri" w:hAnsi="Calibri"/>
      <w:szCs w:val="22"/>
    </w:rPr>
  </w:style>
  <w:style w:type="character" w:customStyle="1" w:styleId="15">
    <w:name w:val="font21"/>
    <w:basedOn w:val="11"/>
    <w:qFormat/>
    <w:uiPriority w:val="0"/>
    <w:rPr>
      <w:rFonts w:hint="default" w:ascii="Times New Roman" w:hAnsi="Times New Roman" w:cs="Times New Roman"/>
      <w:color w:val="000000"/>
      <w:sz w:val="24"/>
      <w:szCs w:val="24"/>
      <w:u w:val="none"/>
    </w:rPr>
  </w:style>
  <w:style w:type="character" w:customStyle="1" w:styleId="16">
    <w:name w:val="font31"/>
    <w:basedOn w:val="11"/>
    <w:qFormat/>
    <w:uiPriority w:val="0"/>
    <w:rPr>
      <w:rFonts w:hint="eastAsia" w:ascii="宋体" w:hAnsi="宋体" w:eastAsia="宋体" w:cs="宋体"/>
      <w:color w:val="000000"/>
      <w:sz w:val="24"/>
      <w:szCs w:val="24"/>
      <w:u w:val="none"/>
    </w:rPr>
  </w:style>
  <w:style w:type="character" w:customStyle="1" w:styleId="17">
    <w:name w:val="font01"/>
    <w:basedOn w:val="11"/>
    <w:qFormat/>
    <w:uiPriority w:val="0"/>
    <w:rPr>
      <w:rFonts w:hint="default" w:ascii="Times New Roman" w:hAnsi="Times New Roman" w:cs="Times New Roman"/>
      <w:b/>
      <w:color w:val="000000"/>
      <w:sz w:val="24"/>
      <w:szCs w:val="24"/>
      <w:u w:val="none"/>
    </w:rPr>
  </w:style>
  <w:style w:type="character" w:customStyle="1" w:styleId="18">
    <w:name w:val="font51"/>
    <w:basedOn w:val="11"/>
    <w:qFormat/>
    <w:uiPriority w:val="0"/>
    <w:rPr>
      <w:rFonts w:hint="eastAsia" w:ascii="黑体" w:hAnsi="宋体" w:eastAsia="黑体" w:cs="黑体"/>
      <w:b/>
      <w:color w:val="000000"/>
      <w:sz w:val="24"/>
      <w:szCs w:val="24"/>
      <w:u w:val="none"/>
    </w:rPr>
  </w:style>
  <w:style w:type="character" w:customStyle="1" w:styleId="19">
    <w:name w:val="font11"/>
    <w:basedOn w:val="11"/>
    <w:qFormat/>
    <w:uiPriority w:val="0"/>
    <w:rPr>
      <w:rFonts w:hint="eastAsia" w:ascii="宋体" w:hAnsi="宋体" w:eastAsia="宋体" w:cs="宋体"/>
      <w:b/>
      <w:color w:val="000000"/>
      <w:sz w:val="24"/>
      <w:szCs w:val="24"/>
      <w:u w:val="none"/>
    </w:rPr>
  </w:style>
  <w:style w:type="character" w:customStyle="1" w:styleId="20">
    <w:name w:val="font71"/>
    <w:basedOn w:val="11"/>
    <w:qFormat/>
    <w:uiPriority w:val="0"/>
    <w:rPr>
      <w:rFonts w:hint="eastAsia" w:ascii="宋体" w:hAnsi="宋体" w:eastAsia="宋体" w:cs="宋体"/>
      <w:color w:val="000000"/>
      <w:sz w:val="24"/>
      <w:szCs w:val="24"/>
      <w:u w:val="none"/>
    </w:rPr>
  </w:style>
  <w:style w:type="character" w:customStyle="1" w:styleId="21">
    <w:name w:val="font61"/>
    <w:basedOn w:val="11"/>
    <w:qFormat/>
    <w:uiPriority w:val="0"/>
    <w:rPr>
      <w:rFonts w:hint="eastAsia" w:ascii="黑体" w:hAnsi="宋体" w:eastAsia="黑体" w:cs="黑体"/>
      <w:b/>
      <w:color w:val="000000"/>
      <w:sz w:val="36"/>
      <w:szCs w:val="36"/>
      <w:u w:val="none"/>
    </w:rPr>
  </w:style>
  <w:style w:type="character" w:customStyle="1" w:styleId="22">
    <w:name w:val="font81"/>
    <w:basedOn w:val="11"/>
    <w:qFormat/>
    <w:uiPriority w:val="0"/>
    <w:rPr>
      <w:rFonts w:hint="default" w:ascii="Times New Roman" w:hAnsi="Times New Roman" w:cs="Times New Roman"/>
      <w:color w:val="000000"/>
      <w:sz w:val="24"/>
      <w:szCs w:val="24"/>
      <w:u w:val="none"/>
    </w:rPr>
  </w:style>
  <w:style w:type="character" w:customStyle="1" w:styleId="23">
    <w:name w:val="font41"/>
    <w:basedOn w:val="11"/>
    <w:qFormat/>
    <w:uiPriority w:val="0"/>
    <w:rPr>
      <w:rFonts w:hint="eastAsia" w:ascii="黑体" w:hAnsi="宋体" w:eastAsia="黑体" w:cs="黑体"/>
      <w:b/>
      <w:color w:val="000000"/>
      <w:sz w:val="36"/>
      <w:szCs w:val="36"/>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5</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2018-09-21T01:44:00Z</dcterms:created>
  <dc:creator>LENOVO</dc:creator>
  <cp:lastModifiedBy>LENOVO</cp:lastModifiedBy>
  <cp:lastPrinted>2019-05-06T07:29:00Z</cp:lastPrinted>
  <dcterms:modified xsi:type="dcterms:W3CDTF">2019-08-06T06:31:20Z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