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10" w:lineRule="exact"/>
        <w:rPr>
          <w:rFonts w:ascii="Times New Roman" w:hAnsi="仿宋" w:eastAsia="仿宋"/>
          <w:sz w:val="32"/>
          <w:szCs w:val="32"/>
        </w:rPr>
      </w:pPr>
      <w:r>
        <w:rPr>
          <w:rFonts w:hint="eastAsia" w:ascii="Times New Roman" w:hAnsi="仿宋" w:eastAsia="仿宋"/>
          <w:sz w:val="32"/>
          <w:szCs w:val="32"/>
        </w:rPr>
        <w:t>附件1</w:t>
      </w:r>
    </w:p>
    <w:p>
      <w:pPr>
        <w:spacing w:line="510" w:lineRule="exact"/>
        <w:rPr>
          <w:rFonts w:ascii="Times New Roman" w:hAnsi="仿宋" w:eastAsia="仿宋"/>
          <w:sz w:val="32"/>
          <w:szCs w:val="32"/>
        </w:rPr>
      </w:pPr>
    </w:p>
    <w:p>
      <w:pPr>
        <w:spacing w:line="560" w:lineRule="exact"/>
        <w:jc w:val="center"/>
        <w:rPr>
          <w:rFonts w:ascii="方正小标宋_GBK" w:eastAsia="方正小标宋_GBK"/>
          <w:sz w:val="44"/>
          <w:szCs w:val="44"/>
        </w:rPr>
      </w:pPr>
      <w:r>
        <w:rPr>
          <w:rFonts w:hint="eastAsia" w:ascii="方正小标宋_GBK" w:eastAsia="方正小标宋_GBK"/>
          <w:sz w:val="44"/>
          <w:szCs w:val="44"/>
        </w:rPr>
        <w:t>广西中马钦州产业园区开发有限公司及下属子公司租赁合同纠纷诉讼服务公开比选文件</w:t>
      </w:r>
    </w:p>
    <w:p>
      <w:pPr>
        <w:spacing w:line="520" w:lineRule="exact"/>
        <w:ind w:firstLine="640" w:firstLineChars="200"/>
        <w:rPr>
          <w:rFonts w:ascii="Times New Roman" w:hAnsi="仿宋" w:eastAsia="仿宋"/>
          <w:sz w:val="32"/>
          <w:szCs w:val="32"/>
        </w:rPr>
      </w:pPr>
    </w:p>
    <w:p>
      <w:pPr>
        <w:spacing w:line="520" w:lineRule="exact"/>
        <w:ind w:firstLine="640" w:firstLineChars="200"/>
        <w:rPr>
          <w:rFonts w:ascii="Times New Roman" w:hAnsi="Times New Roman" w:eastAsia="仿宋"/>
          <w:sz w:val="32"/>
          <w:szCs w:val="32"/>
        </w:rPr>
      </w:pPr>
      <w:r>
        <w:rPr>
          <w:rFonts w:hint="eastAsia" w:ascii="Times New Roman" w:hAnsi="仿宋" w:eastAsia="仿宋"/>
          <w:sz w:val="32"/>
          <w:szCs w:val="32"/>
        </w:rPr>
        <w:t>我公司及下属子公司拟对租赁合同纠纷诉讼服务事项通过公开比选选聘律师事务所</w:t>
      </w:r>
      <w:r>
        <w:rPr>
          <w:rFonts w:ascii="Times New Roman" w:hAnsi="仿宋" w:eastAsia="仿宋"/>
          <w:sz w:val="32"/>
          <w:szCs w:val="32"/>
        </w:rPr>
        <w:t>，具体事项如下：</w:t>
      </w:r>
    </w:p>
    <w:p>
      <w:pPr>
        <w:spacing w:line="520" w:lineRule="exact"/>
        <w:ind w:firstLine="640" w:firstLineChars="200"/>
        <w:rPr>
          <w:rFonts w:ascii="黑体" w:hAnsi="黑体" w:eastAsia="黑体"/>
          <w:sz w:val="32"/>
          <w:szCs w:val="32"/>
        </w:rPr>
      </w:pPr>
      <w:r>
        <w:rPr>
          <w:rFonts w:ascii="黑体" w:hAnsi="黑体" w:eastAsia="黑体"/>
          <w:sz w:val="32"/>
          <w:szCs w:val="32"/>
        </w:rPr>
        <w:t>一、项目基本情况</w:t>
      </w:r>
    </w:p>
    <w:p>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公司及下属子公司在标准厂房、公共租赁房（青年公寓）及中马广场等项目租赁经营过程中，客户恶意拖欠租金的事情频发，为了保障公司的利益，拟长期委托律师事务所开展相关诉讼工作，现通过公开比选，选择一家律师事务所为后续如有发生租赁合同纠纷事项便于及时开展诉讼服务工作（包括为了催收欠款需律师事务所出具律师函等）。</w:t>
      </w:r>
    </w:p>
    <w:p>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本项目控制价为《广西壮族自治区律师服务收费管理实施办法》规定金额。</w:t>
      </w:r>
    </w:p>
    <w:p>
      <w:pPr>
        <w:numPr>
          <w:ilvl w:val="255"/>
          <w:numId w:val="0"/>
        </w:numPr>
        <w:spacing w:line="520" w:lineRule="exact"/>
        <w:ind w:firstLine="640" w:firstLineChars="200"/>
        <w:jc w:val="left"/>
        <w:rPr>
          <w:rFonts w:ascii="黑体" w:hAnsi="黑体" w:eastAsia="黑体"/>
          <w:sz w:val="32"/>
          <w:szCs w:val="32"/>
        </w:rPr>
      </w:pPr>
      <w:r>
        <w:rPr>
          <w:rFonts w:ascii="黑体" w:hAnsi="黑体" w:eastAsia="黑体"/>
          <w:sz w:val="32"/>
          <w:szCs w:val="32"/>
        </w:rPr>
        <w:t>二、报价单位要求</w:t>
      </w:r>
    </w:p>
    <w:p>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（一）报价单位须为中华人民共和国境内依法成立的律师事务所，具有省级及以上司法部门认定的执业许可证； </w:t>
      </w:r>
    </w:p>
    <w:p>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（二）拟派律师须具备执业资格证书，且具有3年及以上执业经验。 </w:t>
      </w:r>
    </w:p>
    <w:p>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（三）报价单位自2019年1月份以来具有类似项目业绩不少于3例（以合同签订时间为准）。 </w:t>
      </w:r>
    </w:p>
    <w:p>
      <w:pPr>
        <w:spacing w:line="520" w:lineRule="exact"/>
        <w:ind w:firstLine="640" w:firstLineChars="200"/>
        <w:rPr>
          <w:rFonts w:ascii="黑体" w:hAnsi="黑体" w:eastAsia="黑体"/>
          <w:sz w:val="32"/>
          <w:szCs w:val="32"/>
        </w:rPr>
      </w:pPr>
      <w:r>
        <w:rPr>
          <w:rFonts w:ascii="黑体" w:hAnsi="黑体" w:eastAsia="黑体"/>
          <w:sz w:val="32"/>
          <w:szCs w:val="32"/>
        </w:rPr>
        <w:t>三、比选须知</w:t>
      </w:r>
    </w:p>
    <w:p>
      <w:pPr>
        <w:spacing w:line="520" w:lineRule="exact"/>
        <w:ind w:firstLine="640" w:firstLineChars="200"/>
        <w:jc w:val="left"/>
        <w:rPr>
          <w:rFonts w:hAnsi="仿宋" w:eastAsia="仿宋"/>
          <w:sz w:val="32"/>
          <w:szCs w:val="32"/>
        </w:rPr>
      </w:pPr>
      <w:r>
        <w:rPr>
          <w:rFonts w:hint="eastAsia" w:ascii="Times New Roman" w:hAnsi="仿宋" w:eastAsia="仿宋"/>
          <w:sz w:val="32"/>
          <w:szCs w:val="32"/>
        </w:rPr>
        <w:t>（一）</w:t>
      </w:r>
      <w:r>
        <w:rPr>
          <w:rFonts w:hint="eastAsia" w:hAnsi="仿宋" w:eastAsia="仿宋"/>
          <w:sz w:val="32"/>
          <w:szCs w:val="32"/>
        </w:rPr>
        <w:t>比选采购范围：广西中马钦州产业园区开发有限公司及下属子公司租赁合同纠纷诉讼服务。</w:t>
      </w:r>
    </w:p>
    <w:p>
      <w:pPr>
        <w:spacing w:line="520" w:lineRule="exact"/>
        <w:ind w:firstLine="640" w:firstLineChars="200"/>
        <w:jc w:val="left"/>
        <w:rPr>
          <w:rFonts w:hAnsi="仿宋" w:eastAsia="仿宋"/>
          <w:sz w:val="32"/>
          <w:szCs w:val="32"/>
        </w:rPr>
      </w:pPr>
      <w:r>
        <w:rPr>
          <w:rFonts w:hint="eastAsia" w:hAnsi="仿宋" w:eastAsia="仿宋"/>
          <w:sz w:val="32"/>
          <w:szCs w:val="32"/>
        </w:rPr>
        <w:t>（二）</w:t>
      </w:r>
      <w:r>
        <w:rPr>
          <w:rFonts w:hint="eastAsia" w:hAnsi="仿宋" w:eastAsia="仿宋"/>
          <w:sz w:val="32"/>
          <w:szCs w:val="32"/>
          <w:lang w:eastAsia="zh-CN"/>
        </w:rPr>
        <w:t>报价有效</w:t>
      </w:r>
      <w:r>
        <w:rPr>
          <w:rFonts w:hint="eastAsia" w:hAnsi="仿宋" w:eastAsia="仿宋"/>
          <w:sz w:val="32"/>
          <w:szCs w:val="32"/>
        </w:rPr>
        <w:t>期限：收到中选通知书之日起</w:t>
      </w:r>
      <w:r>
        <w:rPr>
          <w:rFonts w:hint="eastAsia" w:hAnsi="仿宋" w:eastAsia="仿宋"/>
          <w:sz w:val="32"/>
          <w:szCs w:val="32"/>
          <w:lang w:val="en-US" w:eastAsia="zh-CN"/>
        </w:rPr>
        <w:t>1</w:t>
      </w:r>
      <w:r>
        <w:rPr>
          <w:rFonts w:hint="eastAsia" w:hAnsi="仿宋" w:eastAsia="仿宋"/>
          <w:sz w:val="32"/>
          <w:szCs w:val="32"/>
        </w:rPr>
        <w:t>年。</w:t>
      </w:r>
    </w:p>
    <w:p>
      <w:pPr>
        <w:spacing w:line="520" w:lineRule="exact"/>
        <w:ind w:firstLine="640" w:firstLineChars="200"/>
        <w:rPr>
          <w:rFonts w:hAnsi="仿宋" w:eastAsia="仿宋"/>
          <w:sz w:val="32"/>
          <w:szCs w:val="32"/>
        </w:rPr>
      </w:pPr>
      <w:r>
        <w:rPr>
          <w:rFonts w:hAnsi="仿宋" w:eastAsia="仿宋"/>
          <w:sz w:val="32"/>
          <w:szCs w:val="32"/>
        </w:rPr>
        <w:t>（</w:t>
      </w:r>
      <w:r>
        <w:rPr>
          <w:rFonts w:hint="eastAsia" w:hAnsi="仿宋" w:eastAsia="仿宋"/>
          <w:sz w:val="32"/>
          <w:szCs w:val="32"/>
        </w:rPr>
        <w:t>三</w:t>
      </w:r>
      <w:r>
        <w:rPr>
          <w:rFonts w:hAnsi="仿宋" w:eastAsia="仿宋"/>
          <w:sz w:val="32"/>
          <w:szCs w:val="32"/>
        </w:rPr>
        <w:t>）接收报价文件截止日期：至</w:t>
      </w:r>
      <w:r>
        <w:rPr>
          <w:rFonts w:eastAsia="仿宋"/>
          <w:sz w:val="32"/>
          <w:szCs w:val="32"/>
        </w:rPr>
        <w:t>20</w:t>
      </w:r>
      <w:r>
        <w:rPr>
          <w:rFonts w:hint="eastAsia" w:eastAsia="仿宋"/>
          <w:sz w:val="32"/>
          <w:szCs w:val="32"/>
        </w:rPr>
        <w:t>21</w:t>
      </w:r>
      <w:r>
        <w:rPr>
          <w:rFonts w:hAnsi="仿宋" w:eastAsia="仿宋"/>
          <w:sz w:val="32"/>
          <w:szCs w:val="32"/>
        </w:rPr>
        <w:t>年</w:t>
      </w:r>
      <w:r>
        <w:rPr>
          <w:rFonts w:hint="eastAsia" w:hAnsi="仿宋" w:eastAsia="仿宋"/>
          <w:sz w:val="32"/>
          <w:szCs w:val="32"/>
          <w:lang w:val="en-US" w:eastAsia="zh-CN"/>
        </w:rPr>
        <w:t>11</w:t>
      </w:r>
      <w:r>
        <w:rPr>
          <w:rFonts w:hAnsi="仿宋" w:eastAsia="仿宋"/>
          <w:sz w:val="32"/>
          <w:szCs w:val="32"/>
        </w:rPr>
        <w:t>月</w:t>
      </w:r>
      <w:r>
        <w:rPr>
          <w:rFonts w:hint="eastAsia" w:hAnsi="仿宋" w:eastAsia="仿宋"/>
          <w:sz w:val="32"/>
          <w:szCs w:val="32"/>
          <w:lang w:val="en-US" w:eastAsia="zh-CN"/>
        </w:rPr>
        <w:t>2</w:t>
      </w:r>
      <w:r>
        <w:rPr>
          <w:rFonts w:hAnsi="仿宋" w:eastAsia="仿宋"/>
          <w:sz w:val="32"/>
          <w:szCs w:val="32"/>
        </w:rPr>
        <w:t>日</w:t>
      </w:r>
      <w:r>
        <w:rPr>
          <w:rFonts w:eastAsia="仿宋"/>
          <w:sz w:val="32"/>
          <w:szCs w:val="32"/>
        </w:rPr>
        <w:t>1</w:t>
      </w:r>
      <w:r>
        <w:rPr>
          <w:rFonts w:hint="eastAsia" w:eastAsia="仿宋"/>
          <w:sz w:val="32"/>
          <w:szCs w:val="32"/>
        </w:rPr>
        <w:t>8</w:t>
      </w:r>
      <w:r>
        <w:rPr>
          <w:rFonts w:eastAsia="仿宋"/>
          <w:sz w:val="32"/>
          <w:szCs w:val="32"/>
        </w:rPr>
        <w:t>:00</w:t>
      </w:r>
      <w:r>
        <w:rPr>
          <w:rFonts w:hAnsi="仿宋" w:eastAsia="仿宋"/>
          <w:sz w:val="32"/>
          <w:szCs w:val="32"/>
        </w:rPr>
        <w:t>止。</w:t>
      </w:r>
    </w:p>
    <w:p>
      <w:pPr>
        <w:spacing w:line="520" w:lineRule="exact"/>
        <w:ind w:firstLine="640" w:firstLineChars="200"/>
        <w:rPr>
          <w:rFonts w:eastAsia="仿宋"/>
          <w:sz w:val="32"/>
          <w:szCs w:val="32"/>
        </w:rPr>
      </w:pPr>
      <w:r>
        <w:rPr>
          <w:rFonts w:hAnsi="仿宋" w:eastAsia="仿宋"/>
          <w:sz w:val="32"/>
          <w:szCs w:val="32"/>
        </w:rPr>
        <w:t>（</w:t>
      </w:r>
      <w:r>
        <w:rPr>
          <w:rFonts w:hint="eastAsia" w:hAnsi="仿宋" w:eastAsia="仿宋"/>
          <w:sz w:val="32"/>
          <w:szCs w:val="32"/>
        </w:rPr>
        <w:t>四</w:t>
      </w:r>
      <w:r>
        <w:rPr>
          <w:rFonts w:hAnsi="仿宋" w:eastAsia="仿宋"/>
          <w:sz w:val="32"/>
          <w:szCs w:val="32"/>
        </w:rPr>
        <w:t>）报价文件资料清单</w:t>
      </w:r>
      <w:r>
        <w:rPr>
          <w:rFonts w:hint="eastAsia" w:hAnsi="仿宋" w:eastAsia="仿宋"/>
          <w:b/>
          <w:bCs/>
          <w:sz w:val="32"/>
          <w:szCs w:val="32"/>
        </w:rPr>
        <w:t>（以下文件必须提供且均需加盖公章）</w:t>
      </w:r>
    </w:p>
    <w:p>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目录</w:t>
      </w:r>
    </w:p>
    <w:p>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第一章、报价人简介</w:t>
      </w:r>
    </w:p>
    <w:p>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第二章、营业执照、执业许可证；</w:t>
      </w:r>
    </w:p>
    <w:p>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第三章、报价函（按比选公告附件2报价承诺函报价，并附报价单位联系人、联系方式、报价单位开户银行及账号等）；</w:t>
      </w:r>
    </w:p>
    <w:p>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第四章、企业近两年已完成类似项目一览表，在一览表中注明合同名称、合作单位、合同金额、注明合同扫描件在报价文件中对应的页码（类似业绩不少于3例，一览表后附合同扫描件）；</w:t>
      </w:r>
    </w:p>
    <w:p>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第五章、拟投入本项目人员情况一览表，一览表中的内容包括人员姓名、年龄、担任职务、执业年限、业绩等（拟派律师须具备执业资格证书，且具有3年及以上执业经验，一览表后附人员简介、业绩、执业资格证书扫描件及近三个月（2021年7月—9月）的社保缴纳证明）。</w:t>
      </w:r>
    </w:p>
    <w:p>
      <w:pPr>
        <w:spacing w:line="520" w:lineRule="exact"/>
        <w:ind w:firstLine="640" w:firstLineChars="200"/>
        <w:rPr>
          <w:rFonts w:ascii="黑体" w:hAnsi="黑体" w:eastAsia="黑体"/>
          <w:sz w:val="32"/>
          <w:szCs w:val="32"/>
        </w:rPr>
      </w:pPr>
      <w:r>
        <w:rPr>
          <w:rFonts w:ascii="Times New Roman" w:hAnsi="Times New Roman" w:eastAsia="黑体"/>
          <w:sz w:val="32"/>
          <w:szCs w:val="32"/>
        </w:rPr>
        <w:t> </w:t>
      </w:r>
      <w:r>
        <w:rPr>
          <w:rFonts w:hint="eastAsia" w:ascii="黑体" w:hAnsi="黑体" w:eastAsia="黑体"/>
          <w:sz w:val="32"/>
          <w:szCs w:val="32"/>
        </w:rPr>
        <w:t>四</w:t>
      </w:r>
      <w:r>
        <w:rPr>
          <w:rFonts w:ascii="黑体" w:hAnsi="黑体" w:eastAsia="黑体"/>
          <w:sz w:val="32"/>
          <w:szCs w:val="32"/>
        </w:rPr>
        <w:t>、评审规则</w:t>
      </w:r>
    </w:p>
    <w:p>
      <w:pPr>
        <w:spacing w:line="520" w:lineRule="exact"/>
        <w:ind w:firstLine="640" w:firstLineChars="200"/>
        <w:rPr>
          <w:rFonts w:ascii="Times New Roman" w:hAnsi="Times New Roman" w:eastAsia="仿宋"/>
          <w:sz w:val="32"/>
          <w:szCs w:val="32"/>
        </w:rPr>
      </w:pPr>
      <w:r>
        <w:rPr>
          <w:rFonts w:ascii="Times New Roman" w:hAnsi="仿宋" w:eastAsia="仿宋"/>
          <w:sz w:val="32"/>
          <w:szCs w:val="32"/>
        </w:rPr>
        <w:t>（一）我公司将结合报价单位的</w:t>
      </w:r>
      <w:r>
        <w:rPr>
          <w:rFonts w:hint="eastAsia" w:ascii="Times New Roman" w:hAnsi="仿宋" w:eastAsia="仿宋"/>
          <w:sz w:val="32"/>
          <w:szCs w:val="32"/>
        </w:rPr>
        <w:t>资格</w:t>
      </w:r>
      <w:r>
        <w:rPr>
          <w:rFonts w:ascii="Times New Roman" w:hAnsi="仿宋" w:eastAsia="仿宋"/>
          <w:sz w:val="32"/>
          <w:szCs w:val="32"/>
        </w:rPr>
        <w:t>条件、业绩及报价等因素，综合择优选定本项目的中选单位。</w:t>
      </w:r>
    </w:p>
    <w:p>
      <w:pPr>
        <w:spacing w:line="520" w:lineRule="exact"/>
        <w:ind w:firstLine="640" w:firstLineChars="200"/>
        <w:rPr>
          <w:rFonts w:ascii="Times New Roman" w:hAnsi="Times New Roman" w:eastAsia="仿宋"/>
          <w:sz w:val="32"/>
          <w:szCs w:val="32"/>
        </w:rPr>
      </w:pPr>
      <w:r>
        <w:rPr>
          <w:rFonts w:ascii="Times New Roman" w:hAnsi="仿宋" w:eastAsia="仿宋"/>
          <w:sz w:val="32"/>
          <w:szCs w:val="32"/>
        </w:rPr>
        <w:t>（二）如出现下列情况之一，报价文件作无效处理</w:t>
      </w:r>
    </w:p>
    <w:p>
      <w:pPr>
        <w:spacing w:line="520" w:lineRule="exact"/>
        <w:ind w:firstLine="640" w:firstLineChars="200"/>
        <w:rPr>
          <w:rFonts w:ascii="Times New Roman" w:hAnsi="Times New Roman"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rPr>
        <w:t>1</w:t>
      </w:r>
      <w:r>
        <w:rPr>
          <w:rFonts w:ascii="Times New Roman" w:hAnsi="Times New Roman" w:eastAsia="仿宋"/>
          <w:sz w:val="32"/>
          <w:szCs w:val="32"/>
        </w:rPr>
        <w:t>.</w:t>
      </w:r>
      <w:r>
        <w:rPr>
          <w:rFonts w:ascii="Times New Roman" w:hAnsi="仿宋" w:eastAsia="仿宋"/>
          <w:sz w:val="32"/>
          <w:szCs w:val="32"/>
        </w:rPr>
        <w:t>不响应比选文件实质性要求；</w:t>
      </w:r>
    </w:p>
    <w:p>
      <w:pPr>
        <w:spacing w:line="520" w:lineRule="exact"/>
        <w:ind w:firstLine="960" w:firstLineChars="300"/>
        <w:rPr>
          <w:rFonts w:ascii="Times New Roman" w:hAnsi="仿宋" w:eastAsia="仿宋"/>
          <w:sz w:val="32"/>
          <w:szCs w:val="32"/>
        </w:rPr>
      </w:pPr>
      <w:r>
        <w:rPr>
          <w:rFonts w:hint="eastAsia" w:ascii="Times New Roman" w:hAnsi="Times New Roman" w:eastAsia="仿宋"/>
          <w:sz w:val="32"/>
          <w:szCs w:val="32"/>
        </w:rPr>
        <w:t>2</w:t>
      </w:r>
      <w:r>
        <w:rPr>
          <w:rFonts w:ascii="Times New Roman" w:hAnsi="Times New Roman" w:eastAsia="仿宋"/>
          <w:sz w:val="32"/>
          <w:szCs w:val="32"/>
        </w:rPr>
        <w:t>.</w:t>
      </w:r>
      <w:r>
        <w:rPr>
          <w:rFonts w:ascii="Times New Roman" w:hAnsi="仿宋" w:eastAsia="仿宋"/>
          <w:sz w:val="32"/>
          <w:szCs w:val="32"/>
        </w:rPr>
        <w:t>出现两个或两个以上报价；</w:t>
      </w:r>
    </w:p>
    <w:p>
      <w:pPr>
        <w:spacing w:line="520" w:lineRule="exact"/>
        <w:ind w:firstLine="960" w:firstLineChars="300"/>
        <w:rPr>
          <w:rFonts w:ascii="Times New Roman" w:hAnsi="仿宋" w:eastAsia="仿宋"/>
          <w:sz w:val="32"/>
          <w:szCs w:val="32"/>
        </w:rPr>
      </w:pPr>
      <w:r>
        <w:rPr>
          <w:rFonts w:hint="eastAsia" w:ascii="Times New Roman" w:hAnsi="Times New Roman" w:eastAsia="仿宋"/>
          <w:sz w:val="32"/>
          <w:szCs w:val="32"/>
        </w:rPr>
        <w:t>3</w:t>
      </w:r>
      <w:r>
        <w:rPr>
          <w:rFonts w:ascii="Times New Roman" w:hAnsi="Times New Roman" w:eastAsia="仿宋"/>
          <w:sz w:val="32"/>
          <w:szCs w:val="32"/>
        </w:rPr>
        <w:t>.</w:t>
      </w:r>
      <w:r>
        <w:rPr>
          <w:rFonts w:ascii="Times New Roman" w:hAnsi="仿宋" w:eastAsia="仿宋"/>
          <w:sz w:val="32"/>
          <w:szCs w:val="32"/>
        </w:rPr>
        <w:t>报价超出预算控制价的</w:t>
      </w:r>
      <w:r>
        <w:rPr>
          <w:rFonts w:hint="eastAsia" w:ascii="Times New Roman" w:hAnsi="仿宋" w:eastAsia="仿宋"/>
          <w:sz w:val="32"/>
          <w:szCs w:val="32"/>
        </w:rPr>
        <w:t>；</w:t>
      </w:r>
    </w:p>
    <w:p>
      <w:pPr>
        <w:spacing w:line="520" w:lineRule="exact"/>
        <w:ind w:firstLine="960" w:firstLineChars="300"/>
        <w:rPr>
          <w:rFonts w:ascii="Times New Roman" w:hAnsi="仿宋" w:eastAsia="仿宋"/>
          <w:sz w:val="32"/>
          <w:szCs w:val="32"/>
        </w:rPr>
      </w:pPr>
      <w:r>
        <w:rPr>
          <w:rFonts w:hint="eastAsia" w:ascii="Times New Roman" w:hAnsi="仿宋" w:eastAsia="仿宋"/>
          <w:sz w:val="32"/>
          <w:szCs w:val="32"/>
        </w:rPr>
        <w:t>4.报价文件报送时间已超过规定截止时间；</w:t>
      </w:r>
    </w:p>
    <w:p>
      <w:pPr>
        <w:spacing w:line="520" w:lineRule="exact"/>
        <w:ind w:firstLine="960" w:firstLineChars="300"/>
        <w:rPr>
          <w:rFonts w:ascii="Times New Roman" w:hAnsi="仿宋" w:eastAsia="仿宋"/>
          <w:sz w:val="32"/>
          <w:szCs w:val="32"/>
        </w:rPr>
      </w:pPr>
      <w:r>
        <w:rPr>
          <w:rFonts w:hint="eastAsia" w:ascii="Times New Roman" w:hAnsi="仿宋" w:eastAsia="仿宋"/>
          <w:sz w:val="32"/>
          <w:szCs w:val="32"/>
        </w:rPr>
        <w:t>5.纸质版报价文件未按要求密封；</w:t>
      </w:r>
    </w:p>
    <w:p>
      <w:pPr>
        <w:spacing w:line="520" w:lineRule="exact"/>
        <w:ind w:firstLine="960" w:firstLineChars="300"/>
        <w:rPr>
          <w:rFonts w:ascii="Times New Roman" w:hAnsi="仿宋" w:eastAsia="仿宋"/>
          <w:sz w:val="32"/>
          <w:szCs w:val="32"/>
        </w:rPr>
      </w:pPr>
      <w:r>
        <w:rPr>
          <w:rFonts w:hint="eastAsia" w:ascii="Times New Roman" w:hAnsi="仿宋" w:eastAsia="仿宋"/>
          <w:sz w:val="32"/>
          <w:szCs w:val="32"/>
        </w:rPr>
        <w:t>6.报价文件资料未加盖公司公章；</w:t>
      </w:r>
    </w:p>
    <w:p>
      <w:pPr>
        <w:spacing w:line="520" w:lineRule="exact"/>
        <w:ind w:firstLine="960" w:firstLineChars="300"/>
        <w:rPr>
          <w:rFonts w:ascii="Times New Roman" w:hAnsi="仿宋" w:eastAsia="仿宋"/>
          <w:sz w:val="32"/>
          <w:szCs w:val="32"/>
        </w:rPr>
      </w:pPr>
      <w:r>
        <w:rPr>
          <w:rFonts w:hint="eastAsia" w:ascii="Times New Roman" w:hAnsi="仿宋" w:eastAsia="仿宋"/>
          <w:sz w:val="32"/>
          <w:szCs w:val="32"/>
        </w:rPr>
        <w:t>7.</w:t>
      </w:r>
      <w:r>
        <w:rPr>
          <w:rFonts w:hint="eastAsia" w:ascii="Times New Roman" w:hAnsi="仿宋" w:eastAsia="仿宋"/>
          <w:sz w:val="32"/>
          <w:szCs w:val="32"/>
          <w:lang w:bidi="ar"/>
        </w:rPr>
        <w:t>资格证明文件不全或不符合比选要求，或</w:t>
      </w:r>
      <w:r>
        <w:rPr>
          <w:rFonts w:hint="eastAsia" w:ascii="Times New Roman" w:hAnsi="仿宋" w:eastAsia="仿宋"/>
          <w:sz w:val="32"/>
          <w:szCs w:val="32"/>
        </w:rPr>
        <w:t>超出经营范围报价的；</w:t>
      </w:r>
    </w:p>
    <w:p>
      <w:pPr>
        <w:spacing w:line="520" w:lineRule="exact"/>
        <w:ind w:firstLine="960" w:firstLineChars="300"/>
        <w:rPr>
          <w:rFonts w:ascii="Times New Roman" w:hAnsi="仿宋" w:eastAsia="仿宋"/>
          <w:sz w:val="32"/>
          <w:szCs w:val="32"/>
        </w:rPr>
      </w:pPr>
      <w:r>
        <w:rPr>
          <w:rFonts w:hint="eastAsia" w:ascii="Times New Roman" w:hAnsi="仿宋" w:eastAsia="仿宋"/>
          <w:sz w:val="32"/>
          <w:szCs w:val="32"/>
        </w:rPr>
        <w:t>8.存在其他不符合比选文件要求的行为。</w:t>
      </w:r>
    </w:p>
    <w:p>
      <w:pPr>
        <w:spacing w:line="520" w:lineRule="exact"/>
        <w:rPr>
          <w:rFonts w:eastAsia="仿宋"/>
          <w:sz w:val="32"/>
          <w:szCs w:val="32"/>
        </w:rPr>
      </w:pPr>
      <w:r>
        <w:rPr>
          <w:rFonts w:hint="eastAsia" w:eastAsia="黑体"/>
          <w:sz w:val="32"/>
          <w:szCs w:val="32"/>
        </w:rPr>
        <w:t xml:space="preserve">    五</w:t>
      </w:r>
      <w:r>
        <w:rPr>
          <w:rFonts w:ascii="Times New Roman" w:hAnsi="Times New Roman" w:eastAsia="黑体"/>
          <w:sz w:val="32"/>
          <w:szCs w:val="32"/>
        </w:rPr>
        <w:t>、评分办法</w:t>
      </w:r>
    </w:p>
    <w:p>
      <w:pPr>
        <w:spacing w:line="520" w:lineRule="exact"/>
        <w:ind w:firstLine="640" w:firstLineChars="200"/>
        <w:rPr>
          <w:rFonts w:eastAsia="仿宋"/>
          <w:sz w:val="32"/>
          <w:szCs w:val="32"/>
        </w:rPr>
      </w:pPr>
      <w:r>
        <w:rPr>
          <w:rFonts w:ascii="Times New Roman" w:hAnsi="Times New Roman" w:eastAsia="仿宋"/>
          <w:sz w:val="32"/>
          <w:szCs w:val="32"/>
        </w:rPr>
        <w:t>本项目评审办法采用综合评分法，评委首先对</w:t>
      </w:r>
      <w:r>
        <w:rPr>
          <w:rFonts w:hint="eastAsia" w:eastAsia="仿宋"/>
          <w:sz w:val="32"/>
          <w:szCs w:val="32"/>
        </w:rPr>
        <w:t>报价</w:t>
      </w:r>
      <w:r>
        <w:rPr>
          <w:rFonts w:ascii="Times New Roman" w:hAnsi="Times New Roman" w:eastAsia="仿宋"/>
          <w:sz w:val="32"/>
          <w:szCs w:val="32"/>
        </w:rPr>
        <w:t>单位进行资格审查，然后对通过资格审查的</w:t>
      </w:r>
      <w:r>
        <w:rPr>
          <w:rFonts w:hint="eastAsia" w:eastAsia="仿宋"/>
          <w:sz w:val="32"/>
          <w:szCs w:val="32"/>
        </w:rPr>
        <w:t>报价</w:t>
      </w:r>
      <w:r>
        <w:rPr>
          <w:rFonts w:ascii="Times New Roman" w:hAnsi="Times New Roman" w:eastAsia="仿宋"/>
          <w:sz w:val="32"/>
          <w:szCs w:val="32"/>
        </w:rPr>
        <w:t>单位的报价、</w:t>
      </w:r>
      <w:r>
        <w:rPr>
          <w:rFonts w:hint="eastAsia" w:ascii="Times New Roman" w:hAnsi="Times New Roman" w:eastAsia="仿宋"/>
          <w:sz w:val="32"/>
          <w:szCs w:val="32"/>
        </w:rPr>
        <w:t>业绩</w:t>
      </w:r>
      <w:r>
        <w:rPr>
          <w:rFonts w:ascii="Times New Roman" w:hAnsi="Times New Roman" w:eastAsia="仿宋"/>
          <w:sz w:val="32"/>
          <w:szCs w:val="32"/>
        </w:rPr>
        <w:t>等方面按</w:t>
      </w:r>
      <w:r>
        <w:rPr>
          <w:rFonts w:hint="eastAsia" w:ascii="Times New Roman" w:hAnsi="Times New Roman" w:eastAsia="仿宋"/>
          <w:sz w:val="32"/>
          <w:szCs w:val="32"/>
        </w:rPr>
        <w:t>十</w:t>
      </w:r>
      <w:r>
        <w:rPr>
          <w:rFonts w:ascii="Times New Roman" w:hAnsi="Times New Roman" w:eastAsia="仿宋"/>
          <w:sz w:val="32"/>
          <w:szCs w:val="32"/>
        </w:rPr>
        <w:t>分制进行评分。</w:t>
      </w:r>
    </w:p>
    <w:p>
      <w:pPr>
        <w:numPr>
          <w:ilvl w:val="0"/>
          <w:numId w:val="1"/>
        </w:num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商务文件（权重60%，满分6分）</w:t>
      </w:r>
    </w:p>
    <w:p>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根据价格的高低</w:t>
      </w:r>
      <w:r>
        <w:rPr>
          <w:rFonts w:hint="eastAsia" w:ascii="Times New Roman" w:hAnsi="仿宋" w:eastAsia="仿宋"/>
          <w:sz w:val="32"/>
          <w:szCs w:val="32"/>
          <w:lang w:eastAsia="zh-CN"/>
        </w:rPr>
        <w:t>、优惠幅度</w:t>
      </w:r>
      <w:r>
        <w:rPr>
          <w:rFonts w:hint="eastAsia" w:ascii="Times New Roman" w:hAnsi="仿宋" w:eastAsia="仿宋"/>
          <w:sz w:val="32"/>
          <w:szCs w:val="32"/>
        </w:rPr>
        <w:t>进行横向对比评审，评审按以下五个档进行：</w:t>
      </w:r>
    </w:p>
    <w:p>
      <w:pPr>
        <w:spacing w:line="52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1为不合格（得分为1/5*6）；</w:t>
      </w:r>
    </w:p>
    <w:p>
      <w:pPr>
        <w:spacing w:line="52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2为一般（得分为2/5*6）；</w:t>
      </w:r>
    </w:p>
    <w:p>
      <w:pPr>
        <w:spacing w:line="52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3为合格（得分为3/5*6）；</w:t>
      </w:r>
    </w:p>
    <w:p>
      <w:pPr>
        <w:spacing w:line="52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4为良好（得分为4/5*6）；</w:t>
      </w:r>
    </w:p>
    <w:p>
      <w:pPr>
        <w:spacing w:line="520" w:lineRule="exact"/>
        <w:ind w:firstLine="640" w:firstLineChars="200"/>
        <w:rPr>
          <w:rFonts w:ascii="Times New Roman" w:hAnsi="仿宋" w:eastAsia="仿宋"/>
          <w:sz w:val="32"/>
          <w:szCs w:val="32"/>
        </w:rPr>
      </w:pPr>
      <w:r>
        <w:rPr>
          <w:rFonts w:hint="eastAsia" w:ascii="Times New Roman" w:hAnsi="Times New Roman" w:eastAsia="仿宋"/>
          <w:sz w:val="32"/>
          <w:szCs w:val="32"/>
        </w:rPr>
        <w:t>5为优秀（得分为5/5*6）。</w:t>
      </w:r>
    </w:p>
    <w:p>
      <w:pPr>
        <w:numPr>
          <w:ilvl w:val="0"/>
          <w:numId w:val="2"/>
        </w:num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技术文件（权重40%，满分4分）</w:t>
      </w:r>
    </w:p>
    <w:tbl>
      <w:tblPr>
        <w:tblStyle w:val="10"/>
        <w:tblW w:w="9070"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930"/>
        <w:gridCol w:w="1791"/>
        <w:gridCol w:w="2505"/>
        <w:gridCol w:w="3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720"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序号</w:t>
            </w:r>
          </w:p>
        </w:tc>
        <w:tc>
          <w:tcPr>
            <w:tcW w:w="930"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评审</w:t>
            </w:r>
          </w:p>
          <w:p>
            <w:pPr>
              <w:spacing w:line="360" w:lineRule="exact"/>
              <w:jc w:val="center"/>
              <w:rPr>
                <w:rFonts w:ascii="仿宋" w:hAnsi="仿宋" w:eastAsia="仿宋" w:cs="仿宋"/>
                <w:sz w:val="32"/>
                <w:szCs w:val="32"/>
              </w:rPr>
            </w:pPr>
            <w:r>
              <w:rPr>
                <w:rFonts w:hint="eastAsia" w:ascii="仿宋" w:hAnsi="仿宋" w:eastAsia="仿宋" w:cs="仿宋"/>
                <w:sz w:val="32"/>
                <w:szCs w:val="32"/>
              </w:rPr>
              <w:t>项目</w:t>
            </w:r>
          </w:p>
        </w:tc>
        <w:tc>
          <w:tcPr>
            <w:tcW w:w="1791"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权重</w:t>
            </w:r>
          </w:p>
        </w:tc>
        <w:tc>
          <w:tcPr>
            <w:tcW w:w="2505"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评审依据</w:t>
            </w:r>
          </w:p>
        </w:tc>
        <w:tc>
          <w:tcPr>
            <w:tcW w:w="3124"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5" w:hRule="atLeast"/>
        </w:trPr>
        <w:tc>
          <w:tcPr>
            <w:tcW w:w="720"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1</w:t>
            </w:r>
          </w:p>
        </w:tc>
        <w:tc>
          <w:tcPr>
            <w:tcW w:w="930"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业绩</w:t>
            </w:r>
          </w:p>
        </w:tc>
        <w:tc>
          <w:tcPr>
            <w:tcW w:w="1791"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权重20%</w:t>
            </w:r>
          </w:p>
          <w:p>
            <w:pPr>
              <w:spacing w:line="360" w:lineRule="exact"/>
              <w:jc w:val="center"/>
              <w:rPr>
                <w:rFonts w:ascii="仿宋" w:hAnsi="仿宋" w:eastAsia="仿宋" w:cs="仿宋"/>
                <w:sz w:val="32"/>
                <w:szCs w:val="32"/>
              </w:rPr>
            </w:pPr>
            <w:r>
              <w:rPr>
                <w:rFonts w:hint="eastAsia" w:ascii="仿宋" w:hAnsi="仿宋" w:eastAsia="仿宋" w:cs="仿宋"/>
                <w:sz w:val="32"/>
                <w:szCs w:val="32"/>
              </w:rPr>
              <w:t>满分2分</w:t>
            </w:r>
          </w:p>
        </w:tc>
        <w:tc>
          <w:tcPr>
            <w:tcW w:w="2505"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根据所附业绩合同数量、合同金额大小、项目规模、合同类型与本采购项目的匹配度等方面进行横向对比评审，评审按五个档进行</w:t>
            </w:r>
          </w:p>
        </w:tc>
        <w:tc>
          <w:tcPr>
            <w:tcW w:w="3124" w:type="dxa"/>
            <w:vAlign w:val="center"/>
          </w:tcPr>
          <w:p>
            <w:pPr>
              <w:spacing w:line="360" w:lineRule="exact"/>
              <w:rPr>
                <w:rFonts w:ascii="仿宋" w:hAnsi="仿宋" w:eastAsia="仿宋" w:cs="仿宋"/>
                <w:sz w:val="32"/>
                <w:szCs w:val="32"/>
              </w:rPr>
            </w:pPr>
            <w:r>
              <w:rPr>
                <w:rFonts w:hint="eastAsia" w:ascii="仿宋" w:hAnsi="仿宋" w:eastAsia="仿宋" w:cs="仿宋"/>
                <w:sz w:val="32"/>
                <w:szCs w:val="32"/>
              </w:rPr>
              <w:t>1为不合格</w:t>
            </w:r>
          </w:p>
          <w:p>
            <w:pPr>
              <w:spacing w:line="360" w:lineRule="exact"/>
              <w:rPr>
                <w:rFonts w:ascii="仿宋" w:hAnsi="仿宋" w:eastAsia="仿宋" w:cs="仿宋"/>
                <w:sz w:val="32"/>
                <w:szCs w:val="32"/>
              </w:rPr>
            </w:pPr>
            <w:r>
              <w:rPr>
                <w:rFonts w:hint="eastAsia" w:ascii="仿宋" w:hAnsi="仿宋" w:eastAsia="仿宋" w:cs="仿宋"/>
                <w:sz w:val="32"/>
                <w:szCs w:val="32"/>
              </w:rPr>
              <w:t>（得分为1/5*2）；</w:t>
            </w:r>
          </w:p>
          <w:p>
            <w:pPr>
              <w:spacing w:line="360" w:lineRule="exact"/>
              <w:rPr>
                <w:rFonts w:ascii="仿宋" w:hAnsi="仿宋" w:eastAsia="仿宋" w:cs="仿宋"/>
                <w:sz w:val="32"/>
                <w:szCs w:val="32"/>
              </w:rPr>
            </w:pPr>
            <w:r>
              <w:rPr>
                <w:rFonts w:hint="eastAsia" w:ascii="仿宋" w:hAnsi="仿宋" w:eastAsia="仿宋" w:cs="仿宋"/>
                <w:sz w:val="32"/>
                <w:szCs w:val="32"/>
              </w:rPr>
              <w:t>2为一般</w:t>
            </w:r>
          </w:p>
          <w:p>
            <w:pPr>
              <w:spacing w:line="360" w:lineRule="exact"/>
              <w:rPr>
                <w:rFonts w:ascii="仿宋" w:hAnsi="仿宋" w:eastAsia="仿宋" w:cs="仿宋"/>
                <w:sz w:val="32"/>
                <w:szCs w:val="32"/>
              </w:rPr>
            </w:pPr>
            <w:r>
              <w:rPr>
                <w:rFonts w:hint="eastAsia" w:ascii="仿宋" w:hAnsi="仿宋" w:eastAsia="仿宋" w:cs="仿宋"/>
                <w:sz w:val="32"/>
                <w:szCs w:val="32"/>
              </w:rPr>
              <w:t>（得分为2/5*2）；</w:t>
            </w:r>
          </w:p>
          <w:p>
            <w:pPr>
              <w:spacing w:line="360" w:lineRule="exact"/>
              <w:rPr>
                <w:rFonts w:ascii="仿宋" w:hAnsi="仿宋" w:eastAsia="仿宋" w:cs="仿宋"/>
                <w:sz w:val="32"/>
                <w:szCs w:val="32"/>
              </w:rPr>
            </w:pPr>
            <w:r>
              <w:rPr>
                <w:rFonts w:hint="eastAsia" w:ascii="仿宋" w:hAnsi="仿宋" w:eastAsia="仿宋" w:cs="仿宋"/>
                <w:sz w:val="32"/>
                <w:szCs w:val="32"/>
              </w:rPr>
              <w:t>3为合格</w:t>
            </w:r>
          </w:p>
          <w:p>
            <w:pPr>
              <w:spacing w:line="360" w:lineRule="exact"/>
              <w:rPr>
                <w:rFonts w:ascii="仿宋" w:hAnsi="仿宋" w:eastAsia="仿宋" w:cs="仿宋"/>
                <w:sz w:val="32"/>
                <w:szCs w:val="32"/>
              </w:rPr>
            </w:pPr>
            <w:r>
              <w:rPr>
                <w:rFonts w:hint="eastAsia" w:ascii="仿宋" w:hAnsi="仿宋" w:eastAsia="仿宋" w:cs="仿宋"/>
                <w:sz w:val="32"/>
                <w:szCs w:val="32"/>
              </w:rPr>
              <w:t>（得分为3/5*2）；</w:t>
            </w:r>
          </w:p>
          <w:p>
            <w:pPr>
              <w:spacing w:line="360" w:lineRule="exact"/>
              <w:rPr>
                <w:rFonts w:ascii="仿宋" w:hAnsi="仿宋" w:eastAsia="仿宋" w:cs="仿宋"/>
                <w:sz w:val="32"/>
                <w:szCs w:val="32"/>
              </w:rPr>
            </w:pPr>
            <w:r>
              <w:rPr>
                <w:rFonts w:hint="eastAsia" w:ascii="仿宋" w:hAnsi="仿宋" w:eastAsia="仿宋" w:cs="仿宋"/>
                <w:sz w:val="32"/>
                <w:szCs w:val="32"/>
              </w:rPr>
              <w:t>4为良好</w:t>
            </w:r>
          </w:p>
          <w:p>
            <w:pPr>
              <w:spacing w:line="360" w:lineRule="exact"/>
              <w:rPr>
                <w:rFonts w:ascii="仿宋" w:hAnsi="仿宋" w:eastAsia="仿宋" w:cs="仿宋"/>
                <w:sz w:val="32"/>
                <w:szCs w:val="32"/>
              </w:rPr>
            </w:pPr>
            <w:r>
              <w:rPr>
                <w:rFonts w:hint="eastAsia" w:ascii="仿宋" w:hAnsi="仿宋" w:eastAsia="仿宋" w:cs="仿宋"/>
                <w:sz w:val="32"/>
                <w:szCs w:val="32"/>
              </w:rPr>
              <w:t>（得分为4/5*2）；</w:t>
            </w:r>
          </w:p>
          <w:p>
            <w:pPr>
              <w:spacing w:line="360" w:lineRule="exact"/>
              <w:rPr>
                <w:rFonts w:ascii="仿宋" w:hAnsi="仿宋" w:eastAsia="仿宋" w:cs="仿宋"/>
                <w:sz w:val="32"/>
                <w:szCs w:val="32"/>
              </w:rPr>
            </w:pPr>
            <w:r>
              <w:rPr>
                <w:rFonts w:hint="eastAsia" w:ascii="仿宋" w:hAnsi="仿宋" w:eastAsia="仿宋" w:cs="仿宋"/>
                <w:sz w:val="32"/>
                <w:szCs w:val="32"/>
              </w:rPr>
              <w:t>5为优秀</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5" w:hRule="atLeast"/>
        </w:trPr>
        <w:tc>
          <w:tcPr>
            <w:tcW w:w="720"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2</w:t>
            </w:r>
          </w:p>
        </w:tc>
        <w:tc>
          <w:tcPr>
            <w:tcW w:w="930"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人员</w:t>
            </w:r>
          </w:p>
          <w:p>
            <w:pPr>
              <w:spacing w:line="360" w:lineRule="exact"/>
              <w:jc w:val="center"/>
              <w:rPr>
                <w:rFonts w:ascii="仿宋" w:hAnsi="仿宋" w:eastAsia="仿宋" w:cs="仿宋"/>
                <w:sz w:val="32"/>
                <w:szCs w:val="32"/>
              </w:rPr>
            </w:pPr>
            <w:r>
              <w:rPr>
                <w:rFonts w:hint="eastAsia" w:ascii="仿宋" w:hAnsi="仿宋" w:eastAsia="仿宋" w:cs="仿宋"/>
                <w:sz w:val="32"/>
                <w:szCs w:val="32"/>
              </w:rPr>
              <w:t>配置</w:t>
            </w:r>
          </w:p>
        </w:tc>
        <w:tc>
          <w:tcPr>
            <w:tcW w:w="1791"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权重20%</w:t>
            </w:r>
          </w:p>
          <w:p>
            <w:pPr>
              <w:spacing w:line="360" w:lineRule="exact"/>
              <w:jc w:val="center"/>
              <w:rPr>
                <w:rFonts w:ascii="仿宋" w:hAnsi="仿宋" w:eastAsia="仿宋" w:cs="仿宋"/>
                <w:sz w:val="32"/>
                <w:szCs w:val="32"/>
              </w:rPr>
            </w:pPr>
            <w:r>
              <w:rPr>
                <w:rFonts w:hint="eastAsia" w:ascii="仿宋" w:hAnsi="仿宋" w:eastAsia="仿宋" w:cs="仿宋"/>
                <w:sz w:val="32"/>
                <w:szCs w:val="32"/>
              </w:rPr>
              <w:t>满分2分</w:t>
            </w:r>
          </w:p>
        </w:tc>
        <w:tc>
          <w:tcPr>
            <w:tcW w:w="2505"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根据拟投人员资历、业绩、执业资格证书是否齐全等方面进行横向对比评审，评审按五个档进行</w:t>
            </w:r>
          </w:p>
        </w:tc>
        <w:tc>
          <w:tcPr>
            <w:tcW w:w="3124" w:type="dxa"/>
            <w:vAlign w:val="center"/>
          </w:tcPr>
          <w:p>
            <w:pPr>
              <w:spacing w:line="360" w:lineRule="exact"/>
              <w:rPr>
                <w:rFonts w:ascii="仿宋" w:hAnsi="仿宋" w:eastAsia="仿宋" w:cs="仿宋"/>
                <w:sz w:val="32"/>
                <w:szCs w:val="32"/>
              </w:rPr>
            </w:pPr>
            <w:r>
              <w:rPr>
                <w:rFonts w:hint="eastAsia" w:ascii="仿宋" w:hAnsi="仿宋" w:eastAsia="仿宋" w:cs="仿宋"/>
                <w:sz w:val="32"/>
                <w:szCs w:val="32"/>
              </w:rPr>
              <w:t>1为不合格</w:t>
            </w:r>
          </w:p>
          <w:p>
            <w:pPr>
              <w:spacing w:line="360" w:lineRule="exact"/>
              <w:rPr>
                <w:rFonts w:ascii="仿宋" w:hAnsi="仿宋" w:eastAsia="仿宋" w:cs="仿宋"/>
                <w:sz w:val="32"/>
                <w:szCs w:val="32"/>
              </w:rPr>
            </w:pPr>
            <w:r>
              <w:rPr>
                <w:rFonts w:hint="eastAsia" w:ascii="仿宋" w:hAnsi="仿宋" w:eastAsia="仿宋" w:cs="仿宋"/>
                <w:sz w:val="32"/>
                <w:szCs w:val="32"/>
              </w:rPr>
              <w:t>（得分为1/5*2）；</w:t>
            </w:r>
          </w:p>
          <w:p>
            <w:pPr>
              <w:spacing w:line="360" w:lineRule="exact"/>
              <w:rPr>
                <w:rFonts w:ascii="仿宋" w:hAnsi="仿宋" w:eastAsia="仿宋" w:cs="仿宋"/>
                <w:sz w:val="32"/>
                <w:szCs w:val="32"/>
              </w:rPr>
            </w:pPr>
            <w:r>
              <w:rPr>
                <w:rFonts w:hint="eastAsia" w:ascii="仿宋" w:hAnsi="仿宋" w:eastAsia="仿宋" w:cs="仿宋"/>
                <w:sz w:val="32"/>
                <w:szCs w:val="32"/>
              </w:rPr>
              <w:t>2为一般</w:t>
            </w:r>
          </w:p>
          <w:p>
            <w:pPr>
              <w:spacing w:line="360" w:lineRule="exact"/>
              <w:rPr>
                <w:rFonts w:ascii="仿宋" w:hAnsi="仿宋" w:eastAsia="仿宋" w:cs="仿宋"/>
                <w:sz w:val="32"/>
                <w:szCs w:val="32"/>
              </w:rPr>
            </w:pPr>
            <w:r>
              <w:rPr>
                <w:rFonts w:hint="eastAsia" w:ascii="仿宋" w:hAnsi="仿宋" w:eastAsia="仿宋" w:cs="仿宋"/>
                <w:sz w:val="32"/>
                <w:szCs w:val="32"/>
              </w:rPr>
              <w:t>（得分为2/5*2）；</w:t>
            </w:r>
          </w:p>
          <w:p>
            <w:pPr>
              <w:spacing w:line="360" w:lineRule="exact"/>
              <w:rPr>
                <w:rFonts w:ascii="仿宋" w:hAnsi="仿宋" w:eastAsia="仿宋" w:cs="仿宋"/>
                <w:sz w:val="32"/>
                <w:szCs w:val="32"/>
              </w:rPr>
            </w:pPr>
            <w:r>
              <w:rPr>
                <w:rFonts w:hint="eastAsia" w:ascii="仿宋" w:hAnsi="仿宋" w:eastAsia="仿宋" w:cs="仿宋"/>
                <w:sz w:val="32"/>
                <w:szCs w:val="32"/>
              </w:rPr>
              <w:t>3为合格</w:t>
            </w:r>
          </w:p>
          <w:p>
            <w:pPr>
              <w:spacing w:line="360" w:lineRule="exact"/>
              <w:rPr>
                <w:rFonts w:ascii="仿宋" w:hAnsi="仿宋" w:eastAsia="仿宋" w:cs="仿宋"/>
                <w:sz w:val="32"/>
                <w:szCs w:val="32"/>
              </w:rPr>
            </w:pPr>
            <w:r>
              <w:rPr>
                <w:rFonts w:hint="eastAsia" w:ascii="仿宋" w:hAnsi="仿宋" w:eastAsia="仿宋" w:cs="仿宋"/>
                <w:sz w:val="32"/>
                <w:szCs w:val="32"/>
              </w:rPr>
              <w:t>（得分为3/5*2）；</w:t>
            </w:r>
          </w:p>
          <w:p>
            <w:pPr>
              <w:spacing w:line="360" w:lineRule="exact"/>
              <w:rPr>
                <w:rFonts w:ascii="仿宋" w:hAnsi="仿宋" w:eastAsia="仿宋" w:cs="仿宋"/>
                <w:sz w:val="32"/>
                <w:szCs w:val="32"/>
              </w:rPr>
            </w:pPr>
            <w:r>
              <w:rPr>
                <w:rFonts w:hint="eastAsia" w:ascii="仿宋" w:hAnsi="仿宋" w:eastAsia="仿宋" w:cs="仿宋"/>
                <w:sz w:val="32"/>
                <w:szCs w:val="32"/>
              </w:rPr>
              <w:t>4为良好</w:t>
            </w:r>
          </w:p>
          <w:p>
            <w:pPr>
              <w:spacing w:line="360" w:lineRule="exact"/>
              <w:rPr>
                <w:rFonts w:ascii="仿宋" w:hAnsi="仿宋" w:eastAsia="仿宋" w:cs="仿宋"/>
                <w:sz w:val="32"/>
                <w:szCs w:val="32"/>
              </w:rPr>
            </w:pPr>
            <w:r>
              <w:rPr>
                <w:rFonts w:hint="eastAsia" w:ascii="仿宋" w:hAnsi="仿宋" w:eastAsia="仿宋" w:cs="仿宋"/>
                <w:sz w:val="32"/>
                <w:szCs w:val="32"/>
              </w:rPr>
              <w:t>（得分为4/5*2）；</w:t>
            </w:r>
          </w:p>
          <w:p>
            <w:pPr>
              <w:spacing w:line="360" w:lineRule="exact"/>
              <w:rPr>
                <w:rFonts w:ascii="仿宋" w:hAnsi="仿宋" w:eastAsia="仿宋" w:cs="仿宋"/>
                <w:sz w:val="32"/>
                <w:szCs w:val="32"/>
              </w:rPr>
            </w:pPr>
            <w:r>
              <w:rPr>
                <w:rFonts w:hint="eastAsia" w:ascii="仿宋" w:hAnsi="仿宋" w:eastAsia="仿宋" w:cs="仿宋"/>
                <w:sz w:val="32"/>
                <w:szCs w:val="32"/>
              </w:rPr>
              <w:t>5为优秀</w:t>
            </w:r>
          </w:p>
          <w:p>
            <w:pPr>
              <w:spacing w:line="360" w:lineRule="exact"/>
              <w:rPr>
                <w:rFonts w:ascii="仿宋" w:hAnsi="仿宋" w:eastAsia="仿宋" w:cs="仿宋"/>
                <w:sz w:val="32"/>
                <w:szCs w:val="32"/>
              </w:rPr>
            </w:pPr>
            <w:r>
              <w:rPr>
                <w:rFonts w:hint="eastAsia" w:ascii="仿宋" w:hAnsi="仿宋" w:eastAsia="仿宋" w:cs="仿宋"/>
                <w:sz w:val="32"/>
                <w:szCs w:val="32"/>
              </w:rPr>
              <w:t>（得分为5/5*2）。</w:t>
            </w:r>
          </w:p>
        </w:tc>
      </w:tr>
    </w:tbl>
    <w:p>
      <w:pPr>
        <w:spacing w:line="520" w:lineRule="exact"/>
        <w:ind w:firstLine="640" w:firstLineChars="200"/>
        <w:rPr>
          <w:rFonts w:eastAsia="黑体"/>
          <w:bCs/>
          <w:sz w:val="32"/>
          <w:szCs w:val="32"/>
          <w:shd w:val="clear" w:color="auto" w:fill="FFFFFF"/>
        </w:rPr>
      </w:pPr>
      <w:r>
        <w:rPr>
          <w:rFonts w:hint="eastAsia" w:eastAsia="黑体"/>
          <w:bCs/>
          <w:sz w:val="32"/>
          <w:szCs w:val="32"/>
          <w:shd w:val="clear" w:color="auto" w:fill="FFFFFF"/>
        </w:rPr>
        <w:t>六</w:t>
      </w:r>
      <w:r>
        <w:rPr>
          <w:rFonts w:ascii="Times New Roman" w:hAnsi="Times New Roman" w:eastAsia="黑体"/>
          <w:bCs/>
          <w:sz w:val="32"/>
          <w:szCs w:val="32"/>
          <w:shd w:val="clear" w:color="auto" w:fill="FFFFFF"/>
        </w:rPr>
        <w:t>、中选候选人推荐原则</w:t>
      </w:r>
    </w:p>
    <w:p>
      <w:pPr>
        <w:spacing w:line="520" w:lineRule="exact"/>
        <w:ind w:firstLine="640" w:firstLineChars="200"/>
      </w:pPr>
      <w:r>
        <w:rPr>
          <w:rFonts w:ascii="Times New Roman" w:hAnsi="Times New Roman" w:eastAsia="仿宋"/>
          <w:sz w:val="32"/>
          <w:szCs w:val="32"/>
        </w:rPr>
        <w:t>我公司招采</w:t>
      </w:r>
      <w:r>
        <w:rPr>
          <w:rFonts w:hint="eastAsia" w:ascii="Times New Roman" w:hAnsi="Times New Roman" w:eastAsia="仿宋"/>
          <w:sz w:val="32"/>
          <w:szCs w:val="32"/>
        </w:rPr>
        <w:t>人员</w:t>
      </w:r>
      <w:r>
        <w:rPr>
          <w:rFonts w:ascii="Times New Roman" w:hAnsi="Times New Roman" w:eastAsia="仿宋"/>
          <w:sz w:val="32"/>
          <w:szCs w:val="32"/>
        </w:rPr>
        <w:t>按照</w:t>
      </w:r>
      <w:r>
        <w:rPr>
          <w:rFonts w:hint="eastAsia" w:eastAsia="仿宋"/>
          <w:sz w:val="32"/>
          <w:szCs w:val="32"/>
        </w:rPr>
        <w:t>比选文件</w:t>
      </w:r>
      <w:r>
        <w:rPr>
          <w:rFonts w:ascii="Times New Roman" w:hAnsi="Times New Roman" w:eastAsia="仿宋"/>
          <w:sz w:val="32"/>
          <w:szCs w:val="32"/>
        </w:rPr>
        <w:t>的要求，写出评审报告，拟定综合评分表。评审表标明</w:t>
      </w:r>
      <w:r>
        <w:rPr>
          <w:rFonts w:hint="eastAsia" w:eastAsia="仿宋"/>
          <w:sz w:val="32"/>
          <w:szCs w:val="32"/>
        </w:rPr>
        <w:t>报价</w:t>
      </w:r>
      <w:r>
        <w:rPr>
          <w:rFonts w:ascii="Times New Roman" w:hAnsi="Times New Roman" w:eastAsia="仿宋"/>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w:t>
      </w:r>
      <w:r>
        <w:rPr>
          <w:rFonts w:hint="eastAsia" w:ascii="Times New Roman" w:hAnsi="Times New Roman" w:eastAsia="仿宋"/>
          <w:sz w:val="32"/>
          <w:szCs w:val="32"/>
        </w:rPr>
        <w:t>中选</w:t>
      </w:r>
      <w:r>
        <w:rPr>
          <w:rFonts w:ascii="Times New Roman" w:hAnsi="Times New Roman" w:eastAsia="仿宋"/>
          <w:sz w:val="32"/>
          <w:szCs w:val="32"/>
        </w:rPr>
        <w:t>或者因不可抗力的提出不能履行合同时，采购人依序确定其他中选候选为中选人。</w:t>
      </w:r>
    </w:p>
    <w:p>
      <w:pPr>
        <w:tabs>
          <w:tab w:val="left" w:pos="624"/>
        </w:tabs>
        <w:spacing w:line="52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确定中选人后，自中选人收到中标通知书之日起</w:t>
      </w:r>
      <w:r>
        <w:rPr>
          <w:rFonts w:hint="eastAsia" w:ascii="Times New Roman" w:hAnsi="Times New Roman" w:eastAsia="仿宋"/>
          <w:sz w:val="32"/>
          <w:szCs w:val="32"/>
          <w:lang w:eastAsia="zh-CN"/>
        </w:rPr>
        <w:t>一</w:t>
      </w:r>
      <w:r>
        <w:rPr>
          <w:rFonts w:hint="eastAsia" w:ascii="Times New Roman" w:hAnsi="Times New Roman" w:eastAsia="仿宋"/>
          <w:sz w:val="32"/>
          <w:szCs w:val="32"/>
        </w:rPr>
        <w:t>年内，我公司及下属子公司如发生租赁合同纠纷需聘请律师事务所代理诉讼案件时，优先选择中选人按中选人的报价签订代理协议。</w:t>
      </w:r>
    </w:p>
    <w:p>
      <w:pPr>
        <w:spacing w:line="520" w:lineRule="exact"/>
        <w:rPr>
          <w:rFonts w:ascii="Times New Roman" w:hAnsi="Times New Roman" w:eastAsia="仿宋"/>
          <w:sz w:val="32"/>
          <w:szCs w:val="32"/>
        </w:rPr>
      </w:pPr>
      <w:bookmarkStart w:id="0" w:name="_GoBack"/>
      <w:bookmarkEnd w:id="0"/>
    </w:p>
    <w:p>
      <w:pPr>
        <w:spacing w:line="520" w:lineRule="exact"/>
        <w:rPr>
          <w:rFonts w:ascii="Times New Roman" w:hAnsi="Times New Roman" w:eastAsia="仿宋"/>
          <w:sz w:val="32"/>
          <w:szCs w:val="32"/>
        </w:rPr>
      </w:pPr>
    </w:p>
    <w:p>
      <w:pPr>
        <w:spacing w:line="520" w:lineRule="exact"/>
        <w:rPr>
          <w:rFonts w:ascii="Times New Roman" w:hAnsi="Times New Roman" w:eastAsia="仿宋"/>
          <w:sz w:val="32"/>
          <w:szCs w:val="32"/>
        </w:rPr>
      </w:pPr>
    </w:p>
    <w:p>
      <w:pPr>
        <w:spacing w:line="520" w:lineRule="exact"/>
        <w:rPr>
          <w:rFonts w:ascii="Times New Roman" w:hAnsi="Times New Roman" w:eastAsia="仿宋"/>
          <w:sz w:val="32"/>
          <w:szCs w:val="32"/>
        </w:rPr>
      </w:pPr>
      <w:r>
        <w:rPr>
          <w:rFonts w:hint="eastAsia" w:ascii="Times New Roman" w:hAnsi="Times New Roman" w:eastAsia="仿宋"/>
          <w:sz w:val="32"/>
          <w:szCs w:val="32"/>
        </w:rPr>
        <w:t xml:space="preserve">                       广西中马钦州产业园区开发有限公司</w:t>
      </w:r>
    </w:p>
    <w:p>
      <w:pPr>
        <w:tabs>
          <w:tab w:val="left" w:pos="1164"/>
        </w:tabs>
        <w:autoSpaceDE/>
        <w:autoSpaceDN/>
        <w:spacing w:before="0" w:beforeLines="-2147483648" w:line="520" w:lineRule="exact"/>
        <w:ind w:firstLine="0" w:firstLineChars="0"/>
        <w:jc w:val="left"/>
        <w:rPr>
          <w:rFonts w:ascii="Arial Narrow" w:hAnsi="Arial Narrow" w:eastAsia="仿宋_GB2312"/>
          <w:sz w:val="28"/>
          <w:szCs w:val="28"/>
        </w:rPr>
      </w:pPr>
      <w:r>
        <w:rPr>
          <w:rFonts w:ascii="Times New Roman" w:hAnsi="Times New Roman" w:eastAsia="仿宋"/>
          <w:sz w:val="32"/>
          <w:szCs w:val="32"/>
        </w:rPr>
        <w:t>                     </w:t>
      </w:r>
      <w:r>
        <w:rPr>
          <w:rFonts w:hint="eastAsia" w:ascii="Times New Roman" w:hAnsi="Times New Roman" w:eastAsia="仿宋"/>
          <w:sz w:val="32"/>
          <w:szCs w:val="32"/>
        </w:rPr>
        <w:t xml:space="preserve">                     </w:t>
      </w:r>
      <w:r>
        <w:rPr>
          <w:rFonts w:ascii="Times New Roman" w:hAnsi="Times New Roman" w:eastAsia="仿宋"/>
          <w:sz w:val="32"/>
          <w:szCs w:val="32"/>
        </w:rPr>
        <w:t>20</w:t>
      </w:r>
      <w:r>
        <w:rPr>
          <w:rFonts w:hint="eastAsia" w:ascii="Times New Roman" w:hAnsi="Times New Roman" w:eastAsia="仿宋"/>
          <w:sz w:val="32"/>
          <w:szCs w:val="32"/>
        </w:rPr>
        <w:t>21</w:t>
      </w:r>
      <w:r>
        <w:rPr>
          <w:rFonts w:ascii="Times New Roman" w:hAnsi="仿宋" w:eastAsia="仿宋"/>
          <w:sz w:val="32"/>
          <w:szCs w:val="32"/>
        </w:rPr>
        <w:t>年</w:t>
      </w:r>
      <w:r>
        <w:rPr>
          <w:rFonts w:hint="eastAsia" w:ascii="Times New Roman" w:hAnsi="仿宋" w:eastAsia="仿宋"/>
          <w:sz w:val="32"/>
          <w:szCs w:val="32"/>
          <w:lang w:val="en-US" w:eastAsia="zh-CN"/>
        </w:rPr>
        <w:t>10</w:t>
      </w:r>
      <w:r>
        <w:rPr>
          <w:rFonts w:ascii="Times New Roman" w:hAnsi="仿宋" w:eastAsia="仿宋"/>
          <w:sz w:val="32"/>
          <w:szCs w:val="32"/>
        </w:rPr>
        <w:t>月</w:t>
      </w:r>
      <w:r>
        <w:rPr>
          <w:rFonts w:hint="eastAsia" w:ascii="Times New Roman" w:hAnsi="仿宋" w:eastAsia="仿宋"/>
          <w:sz w:val="32"/>
          <w:szCs w:val="32"/>
          <w:lang w:val="en-US" w:eastAsia="zh-CN"/>
        </w:rPr>
        <w:t>25</w:t>
      </w:r>
      <w:r>
        <w:rPr>
          <w:rFonts w:hint="eastAsia" w:ascii="Times New Roman" w:hAnsi="仿宋" w:eastAsia="仿宋"/>
          <w:sz w:val="32"/>
          <w:szCs w:val="32"/>
        </w:rPr>
        <w:t>日</w:t>
      </w:r>
    </w:p>
    <w:sectPr>
      <w:headerReference r:id="rId3" w:type="default"/>
      <w:footerReference r:id="rId4" w:type="default"/>
      <w:pgSz w:w="11906" w:h="16838"/>
      <w:pgMar w:top="1247" w:right="1247" w:bottom="1247" w:left="1701" w:header="851" w:footer="851" w:gutter="0"/>
      <w:pgNumType w:fmt="decimal"/>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PMingLiU">
    <w:panose1 w:val="02020500000000000000"/>
    <w:charset w:val="88"/>
    <w:family w:val="roman"/>
    <w:pitch w:val="default"/>
    <w:sig w:usb0="A00002FF" w:usb1="28CFFCFA" w:usb2="00000016" w:usb3="00000000" w:csb0="00100001" w:csb1="00000000"/>
  </w:font>
  <w:font w:name="方正小标宋_GBK">
    <w:panose1 w:val="03000509000000000000"/>
    <w:charset w:val="86"/>
    <w:family w:val="script"/>
    <w:pitch w:val="default"/>
    <w:sig w:usb0="00000001" w:usb1="080E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rPr>
        <w:rFonts w:ascii="Arial" w:hAnsi="Arial" w:cs="Arial"/>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jc w:val="left"/>
                          </w:pPr>
                        </w:p>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jc w:val="left"/>
                    </w:pP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E83D33"/>
    <w:rsid w:val="0003782F"/>
    <w:rsid w:val="00174F75"/>
    <w:rsid w:val="00231269"/>
    <w:rsid w:val="002A534C"/>
    <w:rsid w:val="002C2B25"/>
    <w:rsid w:val="0031278A"/>
    <w:rsid w:val="003B3CD8"/>
    <w:rsid w:val="00417DF6"/>
    <w:rsid w:val="00482CD8"/>
    <w:rsid w:val="0074682B"/>
    <w:rsid w:val="00802351"/>
    <w:rsid w:val="0081326F"/>
    <w:rsid w:val="00843E75"/>
    <w:rsid w:val="009B7087"/>
    <w:rsid w:val="00B64ED7"/>
    <w:rsid w:val="00C4564B"/>
    <w:rsid w:val="00C646AF"/>
    <w:rsid w:val="00C70DD0"/>
    <w:rsid w:val="00D343FC"/>
    <w:rsid w:val="00D6325A"/>
    <w:rsid w:val="00E14FBB"/>
    <w:rsid w:val="00E556DD"/>
    <w:rsid w:val="00E72AA5"/>
    <w:rsid w:val="00EE5096"/>
    <w:rsid w:val="00EE6015"/>
    <w:rsid w:val="00F52661"/>
    <w:rsid w:val="00FE1F84"/>
    <w:rsid w:val="01066347"/>
    <w:rsid w:val="03006C48"/>
    <w:rsid w:val="04287857"/>
    <w:rsid w:val="04913ACA"/>
    <w:rsid w:val="05783C18"/>
    <w:rsid w:val="079317D0"/>
    <w:rsid w:val="07CD646F"/>
    <w:rsid w:val="0A531254"/>
    <w:rsid w:val="0AAD5169"/>
    <w:rsid w:val="0BAC44BB"/>
    <w:rsid w:val="0D296599"/>
    <w:rsid w:val="0EB14D54"/>
    <w:rsid w:val="0F5A4624"/>
    <w:rsid w:val="10317DC5"/>
    <w:rsid w:val="11817905"/>
    <w:rsid w:val="119F0928"/>
    <w:rsid w:val="13266824"/>
    <w:rsid w:val="15A71F8C"/>
    <w:rsid w:val="169B37F1"/>
    <w:rsid w:val="16BF2A1C"/>
    <w:rsid w:val="18102D9D"/>
    <w:rsid w:val="18B05292"/>
    <w:rsid w:val="1D254070"/>
    <w:rsid w:val="1DE55C6E"/>
    <w:rsid w:val="1E166F3C"/>
    <w:rsid w:val="1E821269"/>
    <w:rsid w:val="20BF049A"/>
    <w:rsid w:val="21047210"/>
    <w:rsid w:val="21CD0E7E"/>
    <w:rsid w:val="249F3152"/>
    <w:rsid w:val="261F3125"/>
    <w:rsid w:val="26B07BAC"/>
    <w:rsid w:val="29C74433"/>
    <w:rsid w:val="2A1A30DD"/>
    <w:rsid w:val="2A3B73D4"/>
    <w:rsid w:val="2A4F3BA9"/>
    <w:rsid w:val="2AE204E7"/>
    <w:rsid w:val="2B89450B"/>
    <w:rsid w:val="300C7B84"/>
    <w:rsid w:val="31B62D11"/>
    <w:rsid w:val="326359C0"/>
    <w:rsid w:val="34492CCC"/>
    <w:rsid w:val="34A91D02"/>
    <w:rsid w:val="35042F42"/>
    <w:rsid w:val="3568254F"/>
    <w:rsid w:val="37501F01"/>
    <w:rsid w:val="37B96620"/>
    <w:rsid w:val="38D63757"/>
    <w:rsid w:val="39D40133"/>
    <w:rsid w:val="3A1D671D"/>
    <w:rsid w:val="3AA73942"/>
    <w:rsid w:val="3C387320"/>
    <w:rsid w:val="3C7A0618"/>
    <w:rsid w:val="3D5C3F59"/>
    <w:rsid w:val="41024036"/>
    <w:rsid w:val="41B57353"/>
    <w:rsid w:val="42B814AA"/>
    <w:rsid w:val="435A3E32"/>
    <w:rsid w:val="43B97E58"/>
    <w:rsid w:val="43FB5B86"/>
    <w:rsid w:val="455332C1"/>
    <w:rsid w:val="46ED0B48"/>
    <w:rsid w:val="47C106F6"/>
    <w:rsid w:val="484E7E3D"/>
    <w:rsid w:val="48DC4BED"/>
    <w:rsid w:val="48EB632B"/>
    <w:rsid w:val="49C05152"/>
    <w:rsid w:val="49C443CE"/>
    <w:rsid w:val="4B9765CB"/>
    <w:rsid w:val="4C242B77"/>
    <w:rsid w:val="4DDA4D43"/>
    <w:rsid w:val="503A6B3E"/>
    <w:rsid w:val="52BE4C39"/>
    <w:rsid w:val="53183CB8"/>
    <w:rsid w:val="54857045"/>
    <w:rsid w:val="563A719E"/>
    <w:rsid w:val="564A13D2"/>
    <w:rsid w:val="56554DBB"/>
    <w:rsid w:val="56E83D33"/>
    <w:rsid w:val="57C130C6"/>
    <w:rsid w:val="581F3841"/>
    <w:rsid w:val="588D321A"/>
    <w:rsid w:val="58AC5B51"/>
    <w:rsid w:val="594C693C"/>
    <w:rsid w:val="59A8307F"/>
    <w:rsid w:val="5C103AA6"/>
    <w:rsid w:val="5C224A99"/>
    <w:rsid w:val="5E3B0F20"/>
    <w:rsid w:val="603F36C5"/>
    <w:rsid w:val="604D391F"/>
    <w:rsid w:val="62ED371C"/>
    <w:rsid w:val="64254A32"/>
    <w:rsid w:val="653C74CC"/>
    <w:rsid w:val="65A013D8"/>
    <w:rsid w:val="65F6453B"/>
    <w:rsid w:val="67434015"/>
    <w:rsid w:val="69BB3C2A"/>
    <w:rsid w:val="6D535020"/>
    <w:rsid w:val="6D805A20"/>
    <w:rsid w:val="72135F37"/>
    <w:rsid w:val="75104DD7"/>
    <w:rsid w:val="75702007"/>
    <w:rsid w:val="772E3690"/>
    <w:rsid w:val="7809535A"/>
    <w:rsid w:val="79A949E5"/>
    <w:rsid w:val="7A5A1EFF"/>
    <w:rsid w:val="7BE91103"/>
    <w:rsid w:val="7C2B371E"/>
    <w:rsid w:val="7DB6563F"/>
    <w:rsid w:val="7DC74190"/>
    <w:rsid w:val="7DFA06C6"/>
    <w:rsid w:val="7E2D6E40"/>
    <w:rsid w:val="7E8419F6"/>
    <w:rsid w:val="7ED37CB3"/>
    <w:rsid w:val="7FDE30F0"/>
    <w:rsid w:val="7FEC65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spacing w:line="240" w:lineRule="atLeast"/>
      <w:ind w:firstLine="420" w:firstLineChars="200"/>
    </w:pPr>
    <w:rPr>
      <w:sz w:val="32"/>
    </w:rPr>
  </w:style>
  <w:style w:type="paragraph" w:styleId="3">
    <w:name w:val="annotation text"/>
    <w:basedOn w:val="1"/>
    <w:qFormat/>
    <w:uiPriority w:val="0"/>
    <w:pPr>
      <w:jc w:val="left"/>
    </w:pPr>
  </w:style>
  <w:style w:type="paragraph" w:styleId="4">
    <w:name w:val="Plain Text"/>
    <w:basedOn w:val="1"/>
    <w:qFormat/>
    <w:uiPriority w:val="0"/>
    <w:rPr>
      <w:rFonts w:ascii="宋体" w:hAnsi="Courier New"/>
      <w:szCs w:val="24"/>
    </w:rPr>
  </w:style>
  <w:style w:type="paragraph" w:styleId="5">
    <w:name w:val="Balloon Text"/>
    <w:basedOn w:val="1"/>
    <w:link w:val="16"/>
    <w:qFormat/>
    <w:uiPriority w:val="0"/>
    <w:rPr>
      <w:sz w:val="18"/>
      <w:szCs w:val="18"/>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bCs/>
    </w:rPr>
  </w:style>
  <w:style w:type="character" w:styleId="13">
    <w:name w:val="page number"/>
    <w:basedOn w:val="11"/>
    <w:unhideWhenUsed/>
    <w:qFormat/>
    <w:uiPriority w:val="99"/>
  </w:style>
  <w:style w:type="character" w:styleId="14">
    <w:name w:val="annotation reference"/>
    <w:qFormat/>
    <w:uiPriority w:val="0"/>
    <w:rPr>
      <w:sz w:val="21"/>
      <w:szCs w:val="21"/>
    </w:rPr>
  </w:style>
  <w:style w:type="paragraph" w:customStyle="1" w:styleId="15">
    <w:name w:val="Table Paragraph"/>
    <w:basedOn w:val="1"/>
    <w:qFormat/>
    <w:uiPriority w:val="1"/>
    <w:pPr>
      <w:autoSpaceDE w:val="0"/>
      <w:autoSpaceDN w:val="0"/>
      <w:jc w:val="left"/>
    </w:pPr>
    <w:rPr>
      <w:rFonts w:ascii="仿宋" w:hAnsi="仿宋" w:eastAsia="仿宋" w:cs="仿宋"/>
      <w:kern w:val="0"/>
      <w:sz w:val="22"/>
      <w:lang w:val="zh-CN" w:bidi="zh-CN"/>
    </w:rPr>
  </w:style>
  <w:style w:type="character" w:customStyle="1" w:styleId="16">
    <w:name w:val="批注框文本 字符"/>
    <w:basedOn w:val="11"/>
    <w:link w:val="5"/>
    <w:qFormat/>
    <w:uiPriority w:val="0"/>
    <w:rPr>
      <w:rFonts w:ascii="Calibri" w:hAnsi="Calibri"/>
      <w:kern w:val="2"/>
      <w:sz w:val="18"/>
      <w:szCs w:val="18"/>
    </w:rPr>
  </w:style>
  <w:style w:type="paragraph" w:customStyle="1" w:styleId="17">
    <w:name w:val="Body Single"/>
    <w:qFormat/>
    <w:uiPriority w:val="0"/>
    <w:pPr>
      <w:widowControl w:val="0"/>
      <w:tabs>
        <w:tab w:val="left" w:pos="705"/>
        <w:tab w:val="left" w:pos="1440"/>
        <w:tab w:val="left" w:pos="2304"/>
        <w:tab w:val="right" w:pos="10425"/>
      </w:tabs>
      <w:jc w:val="both"/>
    </w:pPr>
    <w:rPr>
      <w:rFonts w:ascii="Times New Roman" w:hAnsi="Times New Roman" w:eastAsia="Times New Roman" w:cs="Times New Roman"/>
      <w:color w:val="000000"/>
      <w:sz w:val="24"/>
      <w:lang w:val="en-US" w:eastAsia="zh-CN" w:bidi="ar-SA"/>
    </w:rPr>
  </w:style>
  <w:style w:type="paragraph" w:styleId="18">
    <w:name w:val="List Paragraph"/>
    <w:basedOn w:val="1"/>
    <w:qFormat/>
    <w:uiPriority w:val="34"/>
    <w:pPr>
      <w:widowControl/>
      <w:ind w:left="720"/>
      <w:contextualSpacing/>
      <w:jc w:val="left"/>
    </w:pPr>
    <w:rPr>
      <w:rFonts w:eastAsia="PMingLiU"/>
      <w:kern w:val="0"/>
      <w:sz w:val="24"/>
      <w:lang w:eastAsia="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7</Pages>
  <Words>312</Words>
  <Characters>1782</Characters>
  <Lines>14</Lines>
  <Paragraphs>4</Paragraphs>
  <TotalTime>4</TotalTime>
  <ScaleCrop>false</ScaleCrop>
  <LinksUpToDate>false</LinksUpToDate>
  <CharactersWithSpaces>2090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2018-09-21T01:44:00Z</dcterms:created>
  <dc:creator>LENOVO</dc:creator>
  <cp:lastModifiedBy>吴雪凝</cp:lastModifiedBy>
  <cp:lastPrinted>2021-10-21T07:46:00Z</cp:lastPrinted>
  <dcterms:modified xsi:type="dcterms:W3CDTF">2021-10-25T03:30:50Z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8D208363D957452783BB718D46E882F8</vt:lpwstr>
  </property>
</Properties>
</file>