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eastAsia="方正小标宋_GBK"/>
          <w:sz w:val="44"/>
          <w:szCs w:val="44"/>
        </w:rPr>
      </w:pPr>
      <w:r>
        <w:rPr>
          <w:rFonts w:hint="eastAsia" w:ascii="方正小标宋_GBK" w:hAnsi="仿宋" w:eastAsia="方正小标宋_GBK" w:cs="Arial"/>
          <w:sz w:val="44"/>
          <w:szCs w:val="44"/>
        </w:rPr>
        <w:t>广西中马钦州产业园区孔雀湾混凝土有限公司</w:t>
      </w:r>
    </w:p>
    <w:p>
      <w:pPr>
        <w:spacing w:line="560" w:lineRule="exact"/>
        <w:jc w:val="center"/>
        <w:rPr>
          <w:rFonts w:ascii="方正小标宋_GBK" w:hAnsi="方正小标宋_GBK" w:eastAsia="方正小标宋_GBK" w:cs="方正小标宋_GBK"/>
          <w:sz w:val="44"/>
          <w:szCs w:val="44"/>
        </w:rPr>
      </w:pPr>
      <w:r>
        <w:rPr>
          <w:rFonts w:hint="eastAsia" w:ascii="方正小标宋_GBK" w:eastAsia="方正小标宋_GBK"/>
          <w:sz w:val="44"/>
          <w:szCs w:val="44"/>
        </w:rPr>
        <w:t>保安服务外包</w:t>
      </w:r>
      <w:r>
        <w:rPr>
          <w:rFonts w:hint="eastAsia" w:ascii="方正小标宋_GBK" w:hAnsi="方正小标宋_GBK" w:eastAsia="方正小标宋_GBK" w:cs="方正小标宋_GBK"/>
          <w:sz w:val="44"/>
          <w:szCs w:val="44"/>
        </w:rPr>
        <w:t>公开比选文件</w:t>
      </w:r>
    </w:p>
    <w:p>
      <w:pPr>
        <w:numPr>
          <w:ilvl w:val="255"/>
          <w:numId w:val="0"/>
        </w:numPr>
        <w:spacing w:line="540" w:lineRule="exact"/>
        <w:ind w:firstLine="640" w:firstLineChars="200"/>
        <w:rPr>
          <w:rFonts w:eastAsia="仿宋"/>
          <w:sz w:val="32"/>
          <w:szCs w:val="32"/>
        </w:rPr>
      </w:pP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我公司下属子公司广西中马钦州产业园区孔雀湾混凝土有限公司拟对保安服务通过公开比选进行外包，具体事项如下：</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sz w:val="32"/>
          <w:szCs w:val="32"/>
        </w:rPr>
      </w:pPr>
      <w:r>
        <w:rPr>
          <w:rFonts w:hint="eastAsia" w:ascii="黑体" w:hAnsi="黑体" w:eastAsia="黑体"/>
          <w:sz w:val="32"/>
          <w:szCs w:val="32"/>
        </w:rPr>
        <w:t>一、服务内容</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（一）基本要求</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1.服务与被服务双方签订规范的物业服务合同，双方权利义务关系明确。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2.管理人员按照国家有关规定取得保安证、物业管理职业资格证书或者岗位证书。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3.统一着装、佩戴标志，行为规范，服务主动、热情。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4.每年至少2 次征询混凝土搅拌站项目住户对保安服务的意见，满意率 98% 以上。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（二）保安日常服务（车辆、公共秩序维护）</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1.具备保安服务经营许可证、有专业保安队伍，执行24小时值班及巡逻制度；保安人员熟悉混凝土搅拌站项目环境，文明值勤，训练有素，语言规范，认真负责。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2.公共区域，要求每2小时至少巡查1次</w:t>
      </w:r>
      <w:r>
        <w:rPr>
          <w:rFonts w:hint="eastAsia" w:eastAsia="仿宋"/>
          <w:sz w:val="32"/>
          <w:szCs w:val="32"/>
          <w:lang w:eastAsia="zh-CN"/>
        </w:rPr>
        <w:t>。</w:t>
      </w:r>
      <w:r>
        <w:rPr>
          <w:rFonts w:hint="eastAsia" w:eastAsia="仿宋"/>
          <w:sz w:val="32"/>
          <w:szCs w:val="32"/>
        </w:rPr>
        <w:t xml:space="preserve">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 xml:space="preserve">3.引导指挥进出项目的车辆有序通行、停放。  </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4.对火灾、治安、公共卫生等突发事件有应急预案，事发时及时报告项目值班管理人员和有关部门，并协助采取相应措施。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5.每周不少于2次集中训练，在驻点人流量较多地方训练</w:t>
      </w:r>
      <w:r>
        <w:rPr>
          <w:rFonts w:hint="eastAsia" w:eastAsia="仿宋"/>
          <w:sz w:val="32"/>
          <w:szCs w:val="32"/>
          <w:lang w:eastAsia="zh-CN"/>
        </w:rPr>
        <w:t>，</w:t>
      </w:r>
      <w:r>
        <w:rPr>
          <w:rFonts w:hint="eastAsia" w:eastAsia="仿宋"/>
          <w:sz w:val="32"/>
          <w:szCs w:val="32"/>
        </w:rPr>
        <w:t>交班接</w:t>
      </w:r>
      <w:r>
        <w:rPr>
          <w:rFonts w:hint="eastAsia" w:eastAsia="仿宋"/>
          <w:sz w:val="32"/>
          <w:szCs w:val="32"/>
          <w:lang w:val="en-US" w:eastAsia="zh-CN"/>
        </w:rPr>
        <w:t>班</w:t>
      </w:r>
      <w:r>
        <w:rPr>
          <w:rFonts w:hint="eastAsia" w:eastAsia="仿宋"/>
          <w:sz w:val="32"/>
          <w:szCs w:val="32"/>
        </w:rPr>
        <w:t>列队巡逻</w:t>
      </w:r>
      <w:r>
        <w:rPr>
          <w:rFonts w:hint="eastAsia" w:eastAsia="仿宋"/>
          <w:sz w:val="32"/>
          <w:szCs w:val="32"/>
          <w:lang w:eastAsia="zh-CN"/>
        </w:rPr>
        <w:t>，</w:t>
      </w:r>
      <w:r>
        <w:rPr>
          <w:rFonts w:hint="eastAsia" w:eastAsia="仿宋"/>
          <w:sz w:val="32"/>
          <w:szCs w:val="32"/>
        </w:rPr>
        <w:t>重要门岗专设形象岗等，以增强客户安全感</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6.按现场情况配备办公用电脑、打印机等</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7.按现场情况配备两轮警用电动车，以增强保安机动性，以便处理突发事件。</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8.形象岗亭标准配备站岗台、遮阳伞、服装、手套等</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sz w:val="32"/>
          <w:szCs w:val="32"/>
        </w:rPr>
      </w:pPr>
      <w:r>
        <w:rPr>
          <w:rFonts w:hint="eastAsia" w:ascii="黑体" w:hAnsi="黑体" w:eastAsia="黑体"/>
          <w:sz w:val="32"/>
          <w:szCs w:val="32"/>
        </w:rPr>
        <w:t>二、人员岗位要求</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1.具有较强的组织协能力；</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2.无违法、无犯罪前科等不良记录；</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3.身体健康，五官端正；</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4.年龄：18-45周岁</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5.具有强烈的服务意识；</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6.具有强烈的责任感和良好的职业道德；</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7.初中以上文化程度</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textAlignment w:val="auto"/>
        <w:rPr>
          <w:rFonts w:hint="eastAsia" w:eastAsia="仿宋"/>
          <w:sz w:val="32"/>
          <w:szCs w:val="32"/>
          <w:lang w:eastAsia="zh-CN"/>
        </w:rPr>
      </w:pPr>
      <w:r>
        <w:rPr>
          <w:rFonts w:hint="eastAsia" w:eastAsia="仿宋"/>
          <w:sz w:val="32"/>
          <w:szCs w:val="32"/>
        </w:rPr>
        <w:t>8.总人数要求：3人</w:t>
      </w:r>
      <w:r>
        <w:rPr>
          <w:rFonts w:hint="eastAsia" w:eastAsia="仿宋"/>
          <w:sz w:val="32"/>
          <w:szCs w:val="32"/>
          <w:lang w:eastAsia="zh-CN"/>
        </w:rPr>
        <w:t>。</w:t>
      </w:r>
    </w:p>
    <w:p>
      <w:pPr>
        <w:keepNext w:val="0"/>
        <w:keepLines w:val="0"/>
        <w:pageBreakBefore w:val="0"/>
        <w:numPr>
          <w:ilvl w:val="255"/>
          <w:numId w:val="0"/>
        </w:numPr>
        <w:kinsoku/>
        <w:wordWrap/>
        <w:overflowPunct/>
        <w:topLinePunct w:val="0"/>
        <w:autoSpaceDE/>
        <w:autoSpaceDN/>
        <w:bidi w:val="0"/>
        <w:adjustRightInd/>
        <w:snapToGrid/>
        <w:spacing w:line="540" w:lineRule="exact"/>
        <w:ind w:firstLine="640" w:firstLineChars="200"/>
        <w:jc w:val="left"/>
        <w:textAlignment w:val="auto"/>
        <w:rPr>
          <w:rFonts w:ascii="黑体" w:hAnsi="黑体" w:eastAsia="黑体"/>
          <w:sz w:val="32"/>
          <w:szCs w:val="32"/>
        </w:rPr>
      </w:pPr>
      <w:r>
        <w:rPr>
          <w:rFonts w:hint="eastAsia" w:ascii="黑体" w:hAnsi="黑体" w:eastAsia="黑体"/>
          <w:sz w:val="32"/>
          <w:szCs w:val="32"/>
        </w:rPr>
        <w:t>三、报价单位要求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int="eastAsia" w:eastAsia="仿宋"/>
          <w:sz w:val="32"/>
          <w:szCs w:val="32"/>
        </w:rPr>
        <w:t>资质要求：具有独立法人资格，且同时具备保安服务许可证或物业服务企业资质。</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、比选须知</w:t>
      </w:r>
    </w:p>
    <w:p>
      <w:pPr>
        <w:keepNext w:val="0"/>
        <w:keepLines w:val="0"/>
        <w:pageBreakBefore w:val="0"/>
        <w:tabs>
          <w:tab w:val="left" w:pos="860"/>
        </w:tabs>
        <w:kinsoku/>
        <w:wordWrap/>
        <w:overflowPunct/>
        <w:topLinePunct w:val="0"/>
        <w:autoSpaceDE/>
        <w:autoSpaceDN/>
        <w:bidi w:val="0"/>
        <w:adjustRightInd/>
        <w:snapToGrid/>
        <w:spacing w:line="540" w:lineRule="exact"/>
        <w:ind w:firstLine="640" w:firstLineChars="200"/>
        <w:textAlignment w:val="auto"/>
        <w:rPr>
          <w:rFonts w:hAnsi="仿宋" w:eastAsia="仿宋"/>
          <w:sz w:val="32"/>
          <w:szCs w:val="32"/>
        </w:rPr>
      </w:pPr>
      <w:r>
        <w:rPr>
          <w:rFonts w:hAnsi="仿宋" w:eastAsia="仿宋"/>
          <w:sz w:val="32"/>
          <w:szCs w:val="32"/>
        </w:rPr>
        <w:t>（一）</w:t>
      </w:r>
      <w:r>
        <w:rPr>
          <w:rFonts w:hint="eastAsia" w:hAnsi="仿宋" w:eastAsia="仿宋"/>
          <w:sz w:val="32"/>
          <w:szCs w:val="32"/>
        </w:rPr>
        <w:t>采购范围：广西中马钦州产业园区孔雀湾混凝土有限公司保安服务外包。</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Ansi="仿宋" w:eastAsia="仿宋"/>
          <w:sz w:val="32"/>
          <w:szCs w:val="32"/>
        </w:rPr>
        <w:t>（二）接收报价文件截止日期：至</w:t>
      </w:r>
      <w:r>
        <w:rPr>
          <w:rFonts w:eastAsia="仿宋"/>
          <w:sz w:val="32"/>
          <w:szCs w:val="32"/>
        </w:rPr>
        <w:t>20</w:t>
      </w:r>
      <w:r>
        <w:rPr>
          <w:rFonts w:hint="eastAsia" w:eastAsia="仿宋"/>
          <w:sz w:val="32"/>
          <w:szCs w:val="32"/>
        </w:rPr>
        <w:t>2</w:t>
      </w:r>
      <w:r>
        <w:rPr>
          <w:rFonts w:eastAsia="仿宋"/>
          <w:sz w:val="32"/>
          <w:szCs w:val="32"/>
        </w:rPr>
        <w:t>2</w:t>
      </w:r>
      <w:r>
        <w:rPr>
          <w:rFonts w:hAnsi="仿宋" w:eastAsia="仿宋"/>
          <w:sz w:val="32"/>
          <w:szCs w:val="32"/>
        </w:rPr>
        <w:t>年</w:t>
      </w:r>
      <w:r>
        <w:rPr>
          <w:rFonts w:hint="eastAsia" w:hAnsi="仿宋" w:eastAsia="仿宋"/>
          <w:sz w:val="32"/>
          <w:szCs w:val="32"/>
        </w:rPr>
        <w:t>11</w:t>
      </w:r>
      <w:r>
        <w:rPr>
          <w:rFonts w:hAnsi="仿宋" w:eastAsia="仿宋"/>
          <w:sz w:val="32"/>
          <w:szCs w:val="32"/>
        </w:rPr>
        <w:t>月</w:t>
      </w:r>
      <w:r>
        <w:rPr>
          <w:rFonts w:hint="eastAsia" w:hAnsi="仿宋" w:eastAsia="仿宋"/>
          <w:sz w:val="32"/>
          <w:szCs w:val="32"/>
          <w:lang w:val="en-US" w:eastAsia="zh-CN"/>
        </w:rPr>
        <w:t>14</w:t>
      </w:r>
      <w:r>
        <w:rPr>
          <w:rFonts w:hAnsi="仿宋" w:eastAsia="仿宋"/>
          <w:sz w:val="32"/>
          <w:szCs w:val="32"/>
        </w:rPr>
        <w:t>日</w:t>
      </w:r>
      <w:r>
        <w:rPr>
          <w:rFonts w:hint="eastAsia" w:eastAsia="仿宋"/>
          <w:sz w:val="32"/>
          <w:szCs w:val="32"/>
        </w:rPr>
        <w:t>18：00</w:t>
      </w:r>
      <w:r>
        <w:rPr>
          <w:rFonts w:hAnsi="仿宋" w:eastAsia="仿宋"/>
          <w:sz w:val="32"/>
          <w:szCs w:val="32"/>
        </w:rPr>
        <w:t>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Ansi="仿宋" w:eastAsia="仿宋"/>
          <w:sz w:val="32"/>
          <w:szCs w:val="32"/>
        </w:rPr>
        <w:t>（三）</w:t>
      </w:r>
      <w:r>
        <w:rPr>
          <w:rFonts w:hint="eastAsia" w:hAnsi="仿宋" w:eastAsia="仿宋"/>
          <w:sz w:val="32"/>
          <w:szCs w:val="32"/>
          <w:lang w:val="en-US" w:eastAsia="zh-CN"/>
        </w:rPr>
        <w:t>服务期：一年。</w:t>
      </w:r>
      <w:r>
        <w:rPr>
          <w:rFonts w:hint="eastAsia" w:eastAsia="仿宋"/>
          <w:sz w:val="32"/>
          <w:szCs w:val="32"/>
        </w:rPr>
        <w:t xml:space="preserve">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hAnsi="仿宋" w:eastAsia="仿宋"/>
          <w:sz w:val="32"/>
          <w:szCs w:val="32"/>
          <w:lang w:val="en-US" w:eastAsia="zh-CN"/>
        </w:rPr>
      </w:pPr>
      <w:r>
        <w:rPr>
          <w:rFonts w:hint="eastAsia" w:eastAsia="仿宋"/>
          <w:sz w:val="32"/>
          <w:szCs w:val="32"/>
        </w:rPr>
        <w:t>（四）</w:t>
      </w:r>
      <w:r>
        <w:rPr>
          <w:rFonts w:hint="eastAsia" w:hAnsi="仿宋" w:eastAsia="仿宋"/>
          <w:sz w:val="32"/>
          <w:szCs w:val="32"/>
          <w:lang w:val="en-US" w:eastAsia="zh-CN"/>
        </w:rPr>
        <w:t>预算控制价：111600元。</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Ansi="仿宋" w:eastAsia="仿宋"/>
          <w:sz w:val="32"/>
          <w:szCs w:val="32"/>
        </w:rPr>
      </w:pP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五</w:t>
      </w:r>
      <w:r>
        <w:rPr>
          <w:rFonts w:hint="eastAsia" w:ascii="Times New Roman" w:hAnsi="Times New Roman" w:eastAsia="仿宋" w:cs="Times New Roman"/>
          <w:sz w:val="32"/>
          <w:szCs w:val="32"/>
          <w:lang w:eastAsia="zh-CN"/>
        </w:rPr>
        <w:t>）</w:t>
      </w:r>
      <w:r>
        <w:rPr>
          <w:rFonts w:hint="eastAsia" w:hAnsi="仿宋" w:eastAsia="仿宋"/>
          <w:sz w:val="32"/>
          <w:szCs w:val="32"/>
          <w:lang w:val="en-US" w:eastAsia="zh-CN"/>
        </w:rPr>
        <w:t>付款方式：详见</w:t>
      </w:r>
      <w:r>
        <w:rPr>
          <w:rFonts w:hint="eastAsia" w:hAnsi="仿宋" w:eastAsia="仿宋"/>
          <w:sz w:val="32"/>
          <w:szCs w:val="32"/>
        </w:rPr>
        <w:t>广西中马钦州产业园区孔雀湾混凝土有限公司保安服务外包公开比选文件</w:t>
      </w:r>
      <w:r>
        <w:rPr>
          <w:rFonts w:hint="eastAsia" w:hAnsi="仿宋" w:eastAsia="仿宋"/>
          <w:sz w:val="32"/>
          <w:szCs w:val="32"/>
          <w:lang w:val="en-US" w:eastAsia="zh-CN"/>
        </w:rPr>
        <w:t>附件合同。</w:t>
      </w:r>
      <w:r>
        <w:rPr>
          <w:rFonts w:hint="eastAsia" w:hAnsi="仿宋" w:eastAsia="仿宋"/>
          <w:sz w:val="32"/>
          <w:szCs w:val="32"/>
        </w:rPr>
        <w:t xml:space="preserve"> </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eastAsia="仿宋"/>
          <w:sz w:val="32"/>
          <w:szCs w:val="32"/>
        </w:rPr>
      </w:pPr>
      <w:r>
        <w:rPr>
          <w:rFonts w:hAnsi="仿宋" w:eastAsia="仿宋"/>
          <w:sz w:val="32"/>
          <w:szCs w:val="32"/>
        </w:rPr>
        <w:t>（</w:t>
      </w:r>
      <w:r>
        <w:rPr>
          <w:rFonts w:hint="eastAsia" w:hAnsi="仿宋" w:eastAsia="仿宋"/>
          <w:sz w:val="32"/>
          <w:szCs w:val="32"/>
          <w:lang w:val="en-US" w:eastAsia="zh-CN"/>
        </w:rPr>
        <w:t>六</w:t>
      </w:r>
      <w:r>
        <w:rPr>
          <w:rFonts w:hAnsi="仿宋" w:eastAsia="仿宋"/>
          <w:sz w:val="32"/>
          <w:szCs w:val="32"/>
        </w:rPr>
        <w:t>）</w:t>
      </w:r>
      <w:r>
        <w:rPr>
          <w:rFonts w:hint="eastAsia" w:ascii="Times New Roman" w:hAnsi="仿宋" w:eastAsia="仿宋"/>
          <w:sz w:val="32"/>
          <w:szCs w:val="32"/>
        </w:rPr>
        <w:t>报价文件组成（</w:t>
      </w:r>
      <w:r>
        <w:rPr>
          <w:rFonts w:hint="eastAsia" w:ascii="Times New Roman" w:hAnsi="仿宋" w:eastAsia="仿宋"/>
          <w:b/>
          <w:bCs/>
          <w:sz w:val="32"/>
          <w:szCs w:val="32"/>
        </w:rPr>
        <w:t>以下文件必须提供且均需加盖公章并标注页码</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目录</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第三章、报价函（报每人每月劳务费用及包干总价（含税，税率为</w:t>
      </w:r>
      <w:r>
        <w:rPr>
          <w:rFonts w:hint="eastAsia" w:hAnsi="仿宋" w:eastAsia="仿宋"/>
          <w:sz w:val="32"/>
          <w:szCs w:val="32"/>
          <w:u w:val="single"/>
        </w:rPr>
        <w:t xml:space="preserve">  </w:t>
      </w:r>
      <w:r>
        <w:rPr>
          <w:rFonts w:hint="eastAsia" w:hAnsi="仿宋" w:eastAsia="仿宋"/>
          <w:sz w:val="32"/>
          <w:szCs w:val="32"/>
        </w:rPr>
        <w:t>%），并附报价单位联系人、联系方式、报价单位开户银行及账号等）；</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rPr>
      </w:pPr>
      <w:r>
        <w:rPr>
          <w:rFonts w:hint="eastAsia" w:hAnsi="仿宋" w:eastAsia="仿宋"/>
          <w:sz w:val="32"/>
          <w:szCs w:val="32"/>
        </w:rPr>
        <w:t>第四章、企业近两年已完成类似项目一览表，在一览表中注明合同名称、合作单位、合同金额</w:t>
      </w:r>
      <w:r>
        <w:rPr>
          <w:rFonts w:hint="eastAsia" w:hAnsi="仿宋" w:eastAsia="仿宋"/>
          <w:sz w:val="32"/>
          <w:szCs w:val="32"/>
          <w:lang w:val="en-US" w:eastAsia="zh-CN"/>
        </w:rPr>
        <w:t>等</w:t>
      </w:r>
      <w:r>
        <w:rPr>
          <w:rFonts w:hint="eastAsia" w:hAnsi="仿宋" w:eastAsia="仿宋"/>
          <w:sz w:val="32"/>
          <w:szCs w:val="32"/>
        </w:rPr>
        <w:t>（一览表后</w:t>
      </w:r>
      <w:r>
        <w:rPr>
          <w:rFonts w:hint="eastAsia" w:hAnsi="仿宋" w:eastAsia="仿宋"/>
          <w:sz w:val="32"/>
          <w:szCs w:val="32"/>
          <w:lang w:val="en-US" w:eastAsia="zh-CN"/>
        </w:rPr>
        <w:t>须</w:t>
      </w:r>
      <w:r>
        <w:rPr>
          <w:rFonts w:hint="eastAsia" w:hAnsi="仿宋" w:eastAsia="仿宋"/>
          <w:sz w:val="32"/>
          <w:szCs w:val="32"/>
        </w:rPr>
        <w:t>附合同扫描件）；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hAnsi="仿宋" w:eastAsia="仿宋"/>
          <w:sz w:val="32"/>
          <w:szCs w:val="32"/>
          <w:lang w:eastAsia="zh-CN"/>
        </w:rPr>
      </w:pPr>
      <w:r>
        <w:rPr>
          <w:rFonts w:hint="eastAsia" w:hAnsi="仿宋" w:eastAsia="仿宋"/>
          <w:sz w:val="32"/>
          <w:szCs w:val="32"/>
        </w:rPr>
        <w:t>第五章、服务方案（含拟投入本项目物资情况表及服务承诺书等）</w:t>
      </w:r>
      <w:r>
        <w:rPr>
          <w:rFonts w:hint="eastAsia" w:hAnsi="仿宋" w:eastAsia="仿宋"/>
          <w:sz w:val="32"/>
          <w:szCs w:val="32"/>
          <w:lang w:eastAsia="zh-CN"/>
        </w:rPr>
        <w:t>。</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ascii="Times New Roman" w:hAnsi="仿宋" w:eastAsia="仿宋"/>
          <w:b/>
          <w:bCs/>
          <w:sz w:val="32"/>
          <w:szCs w:val="32"/>
        </w:rPr>
      </w:pPr>
      <w:r>
        <w:rPr>
          <w:rFonts w:hint="eastAsia" w:ascii="Times New Roman" w:hAnsi="仿宋" w:eastAsia="仿宋"/>
          <w:b/>
          <w:bCs/>
          <w:sz w:val="32"/>
          <w:szCs w:val="32"/>
        </w:rPr>
        <w:t> </w:t>
      </w:r>
      <w:r>
        <w:rPr>
          <w:rFonts w:hint="eastAsia" w:ascii="黑体" w:hAnsi="黑体" w:eastAsia="黑体"/>
          <w:sz w:val="32"/>
          <w:szCs w:val="32"/>
        </w:rPr>
        <w:t>五、评审规则</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1.不响应比选文件实质性要求；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2.出现两个或两个以上报价；</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3.报价超出预算控制价的；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4.报价低于控制价80%的；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8.超出经营范围报价的；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r>
        <w:rPr>
          <w:rFonts w:hint="eastAsia" w:ascii="Times New Roman" w:hAnsi="仿宋" w:eastAsia="仿宋"/>
          <w:sz w:val="32"/>
          <w:szCs w:val="32"/>
        </w:rPr>
        <w:t>9.存在其他不符合比选文件要求的行为。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三</w:t>
      </w:r>
      <w:r>
        <w:rPr>
          <w:rFonts w:hint="eastAsia" w:ascii="Times New Roman" w:hAnsi="仿宋" w:eastAsia="仿宋"/>
          <w:color w:val="auto"/>
          <w:sz w:val="32"/>
          <w:szCs w:val="32"/>
          <w:lang w:eastAsia="zh-CN"/>
        </w:rPr>
        <w:t>）</w:t>
      </w:r>
      <w:r>
        <w:rPr>
          <w:rFonts w:ascii="Times New Roman" w:hAnsi="仿宋" w:eastAsia="仿宋"/>
          <w:color w:val="auto"/>
          <w:sz w:val="32"/>
          <w:szCs w:val="32"/>
        </w:rPr>
        <w:t>如出现下列情况之一，报价文件作无效处理</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同时列入我公司黑名单。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1.不同报价人的报价文件由同一单位或者个人编制；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w:t>
      </w:r>
      <w:r>
        <w:rPr>
          <w:rFonts w:hint="default" w:ascii="Times New Roman" w:hAnsi="仿宋" w:eastAsia="仿宋"/>
          <w:color w:val="auto"/>
          <w:sz w:val="32"/>
          <w:szCs w:val="32"/>
          <w:lang w:val="en-US" w:eastAsia="zh-CN"/>
        </w:rPr>
        <w:t>不同</w:t>
      </w:r>
      <w:r>
        <w:rPr>
          <w:rFonts w:hint="eastAsia" w:ascii="Times New Roman" w:hAnsi="仿宋" w:eastAsia="仿宋"/>
          <w:color w:val="auto"/>
          <w:sz w:val="32"/>
          <w:szCs w:val="32"/>
          <w:lang w:val="en-US" w:eastAsia="zh-CN"/>
        </w:rPr>
        <w:t>报价</w:t>
      </w:r>
      <w:r>
        <w:rPr>
          <w:rFonts w:hint="default" w:ascii="Times New Roman" w:hAnsi="仿宋" w:eastAsia="仿宋"/>
          <w:color w:val="auto"/>
          <w:sz w:val="32"/>
          <w:szCs w:val="32"/>
          <w:lang w:val="en-US" w:eastAsia="zh-CN"/>
        </w:rPr>
        <w:t>人委托同一单位或者个人办理</w:t>
      </w:r>
      <w:r>
        <w:rPr>
          <w:rFonts w:hint="eastAsia" w:ascii="Times New Roman" w:hAnsi="仿宋" w:eastAsia="仿宋"/>
          <w:color w:val="auto"/>
          <w:sz w:val="32"/>
          <w:szCs w:val="32"/>
          <w:lang w:val="en-US" w:eastAsia="zh-CN"/>
        </w:rPr>
        <w:t>报价相关</w:t>
      </w:r>
      <w:r>
        <w:rPr>
          <w:rFonts w:hint="default" w:ascii="Times New Roman" w:hAnsi="仿宋" w:eastAsia="仿宋"/>
          <w:color w:val="auto"/>
          <w:sz w:val="32"/>
          <w:szCs w:val="32"/>
          <w:lang w:val="en-US" w:eastAsia="zh-CN"/>
        </w:rPr>
        <w:t>事宜；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Times New Roman" w:hAnsi="仿宋" w:eastAsia="仿宋"/>
          <w:sz w:val="32"/>
          <w:szCs w:val="32"/>
        </w:rPr>
      </w:pPr>
      <w:r>
        <w:rPr>
          <w:rFonts w:hint="eastAsia" w:ascii="Times New Roman" w:hAnsi="仿宋" w:eastAsia="仿宋"/>
          <w:color w:val="auto"/>
          <w:sz w:val="32"/>
          <w:szCs w:val="32"/>
          <w:lang w:val="en-US" w:eastAsia="zh-CN"/>
        </w:rPr>
        <w:t>5.存在其他违反采购公认原则及规定的行为。</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六、评分办法</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sz w:val="32"/>
          <w:szCs w:val="32"/>
        </w:rPr>
        <w:t>十分制</w:t>
      </w:r>
      <w:r>
        <w:rPr>
          <w:rFonts w:hint="eastAsia" w:ascii="Times New Roman" w:hAnsi="仿宋" w:eastAsia="仿宋"/>
          <w:sz w:val="32"/>
          <w:szCs w:val="32"/>
        </w:rPr>
        <w:t>进行评分。</w:t>
      </w:r>
    </w:p>
    <w:p>
      <w:pPr>
        <w:keepNext w:val="0"/>
        <w:keepLines w:val="0"/>
        <w:pageBreakBefore w:val="0"/>
        <w:numPr>
          <w:ilvl w:val="0"/>
          <w:numId w:val="1"/>
        </w:numPr>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rPr>
        <w:t>或者低于控制价80%，均作无效处理，评审按以下五个档进行：</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2为一般（得分为2/5*6）；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3为合格（得分为3/5*6）；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tbl>
      <w:tblPr>
        <w:tblStyle w:val="15"/>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4"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序号</w:t>
            </w:r>
          </w:p>
        </w:tc>
        <w:tc>
          <w:tcPr>
            <w:tcW w:w="117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评审</w:t>
            </w:r>
          </w:p>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项目</w:t>
            </w:r>
          </w:p>
        </w:tc>
        <w:tc>
          <w:tcPr>
            <w:tcW w:w="169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权重</w:t>
            </w:r>
          </w:p>
        </w:tc>
        <w:tc>
          <w:tcPr>
            <w:tcW w:w="268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评审依据</w:t>
            </w:r>
          </w:p>
        </w:tc>
        <w:tc>
          <w:tcPr>
            <w:tcW w:w="276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0" w:hRule="atLeast"/>
        </w:trPr>
        <w:tc>
          <w:tcPr>
            <w:tcW w:w="664"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1</w:t>
            </w:r>
          </w:p>
        </w:tc>
        <w:tc>
          <w:tcPr>
            <w:tcW w:w="117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业绩</w:t>
            </w:r>
          </w:p>
        </w:tc>
        <w:tc>
          <w:tcPr>
            <w:tcW w:w="1695" w:type="dxa"/>
            <w:vAlign w:val="center"/>
          </w:tcPr>
          <w:p>
            <w:pPr>
              <w:numPr>
                <w:ilvl w:val="255"/>
                <w:numId w:val="0"/>
              </w:numPr>
              <w:spacing w:line="440" w:lineRule="exact"/>
              <w:jc w:val="center"/>
              <w:rPr>
                <w:rFonts w:ascii="Times New Roman" w:hAnsi="仿宋" w:eastAsia="仿宋"/>
                <w:sz w:val="30"/>
                <w:szCs w:val="30"/>
              </w:rPr>
            </w:pPr>
            <w:r>
              <w:rPr>
                <w:rFonts w:hint="eastAsia" w:ascii="Times New Roman" w:hAnsi="仿宋" w:eastAsia="仿宋"/>
                <w:sz w:val="30"/>
                <w:szCs w:val="30"/>
              </w:rPr>
              <w:t>权重20%</w:t>
            </w:r>
          </w:p>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0"/>
                <w:szCs w:val="30"/>
              </w:rPr>
              <w:t>满分2分</w:t>
            </w:r>
          </w:p>
        </w:tc>
        <w:tc>
          <w:tcPr>
            <w:tcW w:w="268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根据所附业绩合同数量、合同金额大小</w:t>
            </w:r>
            <w:r>
              <w:rPr>
                <w:rFonts w:hint="eastAsia" w:ascii="Times New Roman" w:hAnsi="仿宋" w:eastAsia="仿宋"/>
                <w:sz w:val="32"/>
                <w:szCs w:val="32"/>
                <w:lang w:eastAsia="zh-CN"/>
              </w:rPr>
              <w:t>、</w:t>
            </w:r>
            <w:r>
              <w:rPr>
                <w:rFonts w:hint="eastAsia" w:ascii="仿宋" w:hAnsi="仿宋" w:eastAsia="仿宋" w:cs="仿宋"/>
                <w:color w:val="auto"/>
                <w:sz w:val="32"/>
                <w:szCs w:val="32"/>
              </w:rPr>
              <w:t>项目规模</w:t>
            </w:r>
            <w:r>
              <w:rPr>
                <w:rFonts w:hint="eastAsia" w:ascii="Times New Roman" w:hAnsi="仿宋" w:eastAsia="仿宋"/>
                <w:sz w:val="32"/>
                <w:szCs w:val="32"/>
              </w:rPr>
              <w:t>等方面进行横向对比评审，评审按五个档进行</w:t>
            </w:r>
          </w:p>
        </w:tc>
        <w:tc>
          <w:tcPr>
            <w:tcW w:w="2760" w:type="dxa"/>
            <w:vAlign w:val="center"/>
          </w:tcPr>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1为不合格</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（得分为1/5*2）；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2为一般</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（得分为2/5*2）；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3为合格</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（得分为3/5*2）；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4为良好</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（得分为4/5*2）；</w:t>
            </w:r>
          </w:p>
          <w:p>
            <w:pPr>
              <w:spacing w:line="440" w:lineRule="exact"/>
              <w:jc w:val="left"/>
              <w:rPr>
                <w:rFonts w:ascii="Times New Roman" w:hAnsi="Times New Roman" w:eastAsia="仿宋"/>
                <w:sz w:val="32"/>
                <w:szCs w:val="32"/>
              </w:rPr>
            </w:pPr>
            <w:r>
              <w:rPr>
                <w:rFonts w:hint="eastAsia" w:ascii="Times New Roman" w:hAnsi="Times New Roman" w:eastAsia="仿宋"/>
                <w:sz w:val="32"/>
                <w:szCs w:val="32"/>
              </w:rPr>
              <w:t>5为优秀</w:t>
            </w:r>
          </w:p>
          <w:p>
            <w:pPr>
              <w:spacing w:line="440" w:lineRule="exact"/>
              <w:jc w:val="left"/>
              <w:rPr>
                <w:rFonts w:ascii="Times New Roman" w:hAnsi="仿宋" w:eastAsia="仿宋"/>
                <w:sz w:val="32"/>
                <w:szCs w:val="32"/>
              </w:rPr>
            </w:pPr>
            <w:r>
              <w:rPr>
                <w:rFonts w:hint="eastAsia" w:ascii="Times New Roman" w:hAnsi="Times New Roman" w:eastAsia="仿宋"/>
                <w:sz w:val="32"/>
                <w:szCs w:val="32"/>
              </w:rPr>
              <w:t>（得分为5/5*2）。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5" w:hRule="atLeast"/>
        </w:trPr>
        <w:tc>
          <w:tcPr>
            <w:tcW w:w="664"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2</w:t>
            </w:r>
          </w:p>
        </w:tc>
        <w:tc>
          <w:tcPr>
            <w:tcW w:w="1170"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服务方案</w:t>
            </w:r>
          </w:p>
        </w:tc>
        <w:tc>
          <w:tcPr>
            <w:tcW w:w="1695" w:type="dxa"/>
            <w:vAlign w:val="center"/>
          </w:tcPr>
          <w:p>
            <w:pPr>
              <w:numPr>
                <w:ilvl w:val="255"/>
                <w:numId w:val="0"/>
              </w:numPr>
              <w:spacing w:line="440" w:lineRule="exact"/>
              <w:jc w:val="center"/>
              <w:rPr>
                <w:rFonts w:ascii="Times New Roman" w:hAnsi="仿宋" w:eastAsia="仿宋"/>
                <w:sz w:val="30"/>
                <w:szCs w:val="30"/>
              </w:rPr>
            </w:pPr>
            <w:r>
              <w:rPr>
                <w:rFonts w:hint="eastAsia" w:ascii="Times New Roman" w:hAnsi="仿宋" w:eastAsia="仿宋"/>
                <w:sz w:val="30"/>
                <w:szCs w:val="30"/>
              </w:rPr>
              <w:t>权重20%</w:t>
            </w:r>
          </w:p>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0"/>
                <w:szCs w:val="30"/>
              </w:rPr>
              <w:t>满分2分</w:t>
            </w:r>
          </w:p>
        </w:tc>
        <w:tc>
          <w:tcPr>
            <w:tcW w:w="2685" w:type="dxa"/>
            <w:vAlign w:val="center"/>
          </w:tcPr>
          <w:p>
            <w:pPr>
              <w:numPr>
                <w:ilvl w:val="255"/>
                <w:numId w:val="0"/>
              </w:numPr>
              <w:spacing w:line="440" w:lineRule="exact"/>
              <w:jc w:val="center"/>
              <w:rPr>
                <w:rFonts w:ascii="Times New Roman" w:hAnsi="仿宋" w:eastAsia="仿宋"/>
                <w:sz w:val="32"/>
                <w:szCs w:val="32"/>
              </w:rPr>
            </w:pPr>
            <w:r>
              <w:rPr>
                <w:rFonts w:hint="eastAsia" w:ascii="Times New Roman" w:hAnsi="仿宋" w:eastAsia="仿宋"/>
                <w:sz w:val="32"/>
                <w:szCs w:val="32"/>
              </w:rPr>
              <w:t>根据投入本项目物资具体情况及服务承诺书的优劣等方面进行横向对比评审，评审按五个档进行</w:t>
            </w:r>
          </w:p>
        </w:tc>
        <w:tc>
          <w:tcPr>
            <w:tcW w:w="2760" w:type="dxa"/>
            <w:vAlign w:val="center"/>
          </w:tcPr>
          <w:p>
            <w:pPr>
              <w:spacing w:line="440" w:lineRule="exact"/>
              <w:rPr>
                <w:rFonts w:ascii="Times New Roman" w:hAnsi="Times New Roman" w:eastAsia="仿宋"/>
                <w:sz w:val="32"/>
                <w:szCs w:val="32"/>
              </w:rPr>
            </w:pPr>
            <w:r>
              <w:rPr>
                <w:rFonts w:hint="eastAsia" w:ascii="Times New Roman" w:hAnsi="Times New Roman" w:eastAsia="仿宋"/>
                <w:sz w:val="32"/>
                <w:szCs w:val="32"/>
              </w:rPr>
              <w:t>1为不合格</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（得分为1/5*2）；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2为一般</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（得分为2/5*2）；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3为合格</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（得分为3/5*2）；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4为良好</w:t>
            </w:r>
          </w:p>
          <w:p>
            <w:pPr>
              <w:spacing w:line="440" w:lineRule="exact"/>
              <w:rPr>
                <w:rFonts w:ascii="Times New Roman" w:hAnsi="Times New Roman" w:eastAsia="仿宋"/>
                <w:sz w:val="32"/>
                <w:szCs w:val="32"/>
              </w:rPr>
            </w:pPr>
            <w:r>
              <w:rPr>
                <w:rFonts w:hint="eastAsia" w:ascii="Times New Roman" w:hAnsi="Times New Roman" w:eastAsia="仿宋"/>
                <w:sz w:val="32"/>
                <w:szCs w:val="32"/>
              </w:rPr>
              <w:t>（得分为4/5*2）；</w:t>
            </w:r>
          </w:p>
          <w:p>
            <w:pPr>
              <w:spacing w:line="440" w:lineRule="exact"/>
              <w:rPr>
                <w:rFonts w:ascii="Times New Roman" w:hAnsi="Times New Roman" w:eastAsia="仿宋"/>
                <w:sz w:val="32"/>
                <w:szCs w:val="32"/>
              </w:rPr>
            </w:pPr>
            <w:r>
              <w:rPr>
                <w:rFonts w:hint="eastAsia" w:ascii="Times New Roman" w:hAnsi="Times New Roman" w:eastAsia="仿宋"/>
                <w:sz w:val="32"/>
                <w:szCs w:val="32"/>
              </w:rPr>
              <w:t>5为优秀</w:t>
            </w:r>
          </w:p>
          <w:p>
            <w:pPr>
              <w:spacing w:line="440" w:lineRule="exact"/>
              <w:rPr>
                <w:rFonts w:ascii="Times New Roman" w:hAnsi="仿宋" w:eastAsia="仿宋"/>
                <w:sz w:val="32"/>
                <w:szCs w:val="32"/>
              </w:rPr>
            </w:pPr>
            <w:r>
              <w:rPr>
                <w:rFonts w:hint="eastAsia" w:ascii="Times New Roman" w:hAnsi="Times New Roman" w:eastAsia="仿宋"/>
                <w:sz w:val="32"/>
                <w:szCs w:val="32"/>
              </w:rPr>
              <w:t>（得分为5/5*2）。</w:t>
            </w:r>
          </w:p>
        </w:tc>
      </w:tr>
    </w:tbl>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七、中选候选人推荐原则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
          <w:sz w:val="32"/>
          <w:szCs w:val="32"/>
        </w:rPr>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合约部招采人员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sz w:val="32"/>
          <w:szCs w:val="32"/>
        </w:rPr>
        <w:t>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sz w:val="32"/>
          <w:szCs w:val="32"/>
          <w:lang w:val="en-US" w:eastAsia="zh-CN"/>
        </w:rPr>
        <w:t>我公司</w:t>
      </w:r>
      <w:r>
        <w:rPr>
          <w:rFonts w:ascii="Times New Roman" w:hAnsi="Times New Roman" w:eastAsia="仿宋"/>
          <w:sz w:val="32"/>
          <w:szCs w:val="32"/>
        </w:rPr>
        <w:t>依序确定其他中选候选为中选人。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r>
        <w:rPr>
          <w:rFonts w:hint="eastAsia" w:ascii="Times New Roman" w:hAnsi="仿宋" w:eastAsia="仿宋"/>
          <w:sz w:val="32"/>
          <w:szCs w:val="32"/>
        </w:rPr>
        <w:t>附件：广西中马钦州产业园区孔雀湾混凝土有限公司保安服务外包合同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right"/>
        <w:textAlignment w:val="auto"/>
        <w:rPr>
          <w:rFonts w:ascii="Times New Roman" w:hAnsi="仿宋" w:eastAsia="仿宋"/>
          <w:sz w:val="32"/>
          <w:szCs w:val="32"/>
        </w:rPr>
      </w:pPr>
      <w:r>
        <w:rPr>
          <w:rFonts w:hint="eastAsia" w:ascii="Times New Roman" w:hAnsi="仿宋" w:eastAsia="仿宋"/>
          <w:sz w:val="32"/>
          <w:szCs w:val="32"/>
        </w:rPr>
        <w:t>广西中马钦州产业园区开发有限公司</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ascii="Times New Roman" w:hAnsi="仿宋" w:eastAsia="仿宋"/>
          <w:sz w:val="32"/>
          <w:szCs w:val="32"/>
        </w:rPr>
      </w:pPr>
      <w:r>
        <w:rPr>
          <w:rFonts w:hint="eastAsia" w:ascii="Times New Roman" w:hAnsi="仿宋" w:eastAsia="仿宋"/>
          <w:sz w:val="32"/>
          <w:szCs w:val="32"/>
        </w:rPr>
        <w:t xml:space="preserve">                        </w:t>
      </w:r>
      <w:r>
        <w:rPr>
          <w:rFonts w:hint="eastAsia" w:ascii="Times New Roman" w:hAnsi="仿宋" w:eastAsia="仿宋"/>
          <w:sz w:val="32"/>
          <w:szCs w:val="32"/>
          <w:lang w:val="en-US" w:eastAsia="zh-CN"/>
        </w:rPr>
        <w:t xml:space="preserve">      </w:t>
      </w:r>
      <w:r>
        <w:rPr>
          <w:rFonts w:hint="eastAsia" w:ascii="Times New Roman" w:hAnsi="仿宋" w:eastAsia="仿宋"/>
          <w:sz w:val="32"/>
          <w:szCs w:val="32"/>
        </w:rPr>
        <w:t>2022年11月</w:t>
      </w:r>
      <w:r>
        <w:rPr>
          <w:rFonts w:hint="eastAsia" w:ascii="Times New Roman" w:hAnsi="仿宋" w:eastAsia="仿宋"/>
          <w:sz w:val="32"/>
          <w:szCs w:val="32"/>
          <w:lang w:val="en-US" w:eastAsia="zh-CN"/>
        </w:rPr>
        <w:t>4</w:t>
      </w:r>
      <w:r>
        <w:rPr>
          <w:rFonts w:hint="eastAsia" w:ascii="Times New Roman" w:hAnsi="仿宋" w:eastAsia="仿宋"/>
          <w:sz w:val="32"/>
          <w:szCs w:val="32"/>
        </w:rPr>
        <w:t>日</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Times New Roman" w:hAnsi="仿宋" w:eastAsia="仿宋"/>
          <w:sz w:val="32"/>
          <w:szCs w:val="32"/>
        </w:rPr>
      </w:pPr>
    </w:p>
    <w:p>
      <w:pPr>
        <w:spacing w:line="560" w:lineRule="exact"/>
        <w:jc w:val="left"/>
        <w:rPr>
          <w:rFonts w:ascii="Times New Roman" w:hAnsi="仿宋" w:eastAsia="仿宋"/>
          <w:sz w:val="32"/>
          <w:szCs w:val="32"/>
        </w:rPr>
      </w:pPr>
      <w:r>
        <w:rPr>
          <w:rFonts w:hint="eastAsia" w:ascii="Times New Roman" w:hAnsi="仿宋" w:eastAsia="仿宋"/>
          <w:sz w:val="32"/>
          <w:szCs w:val="32"/>
        </w:rPr>
        <w:t>附件</w:t>
      </w:r>
    </w:p>
    <w:p>
      <w:pPr>
        <w:spacing w:after="120" w:line="560" w:lineRule="exact"/>
        <w:jc w:val="center"/>
        <w:rPr>
          <w:rFonts w:ascii="方正小标宋_GBK" w:hAnsi="仿宋" w:eastAsia="方正小标宋_GBK" w:cs="Arial"/>
          <w:sz w:val="44"/>
          <w:szCs w:val="44"/>
        </w:rPr>
      </w:pPr>
    </w:p>
    <w:p>
      <w:pPr>
        <w:spacing w:after="120" w:line="560" w:lineRule="exact"/>
        <w:jc w:val="center"/>
        <w:rPr>
          <w:rFonts w:ascii="方正小标宋_GBK" w:hAnsi="仿宋" w:eastAsia="方正小标宋_GBK" w:cs="Arial"/>
          <w:sz w:val="44"/>
          <w:szCs w:val="44"/>
        </w:rPr>
      </w:pPr>
      <w:r>
        <w:rPr>
          <w:rFonts w:hint="eastAsia" w:ascii="方正小标宋_GBK" w:hAnsi="仿宋" w:eastAsia="方正小标宋_GBK" w:cs="Arial"/>
          <w:sz w:val="44"/>
          <w:szCs w:val="44"/>
        </w:rPr>
        <w:t>广西中马钦州产业园区孔雀湾混凝土有限公司保安服务外包合同</w:t>
      </w:r>
    </w:p>
    <w:p>
      <w:pPr>
        <w:spacing w:line="520" w:lineRule="exact"/>
        <w:jc w:val="center"/>
        <w:rPr>
          <w:rFonts w:ascii="仿宋" w:hAnsi="仿宋" w:eastAsia="仿宋" w:cs="Arial"/>
          <w:bCs/>
          <w:sz w:val="28"/>
          <w:szCs w:val="28"/>
        </w:rPr>
      </w:pPr>
      <w:r>
        <w:rPr>
          <w:rFonts w:hint="eastAsia" w:ascii="仿宋" w:hAnsi="仿宋" w:eastAsia="仿宋" w:cs="Arial"/>
          <w:b/>
          <w:sz w:val="28"/>
          <w:szCs w:val="28"/>
        </w:rPr>
        <w:t xml:space="preserve"> </w:t>
      </w:r>
      <w:r>
        <w:rPr>
          <w:rFonts w:ascii="仿宋" w:hAnsi="仿宋" w:eastAsia="仿宋" w:cs="Arial"/>
          <w:b/>
          <w:sz w:val="28"/>
          <w:szCs w:val="28"/>
        </w:rPr>
        <w:t xml:space="preserve">               </w:t>
      </w:r>
      <w:r>
        <w:rPr>
          <w:rFonts w:hint="eastAsia" w:ascii="仿宋" w:hAnsi="仿宋" w:eastAsia="仿宋" w:cs="Arial"/>
          <w:bCs/>
          <w:sz w:val="28"/>
          <w:szCs w:val="28"/>
        </w:rPr>
        <w:t>合同编号：</w:t>
      </w:r>
    </w:p>
    <w:p>
      <w:pPr>
        <w:tabs>
          <w:tab w:val="left" w:pos="1080"/>
        </w:tabs>
        <w:spacing w:line="520" w:lineRule="exact"/>
        <w:rPr>
          <w:rFonts w:ascii="宋体" w:hAnsi="宋体" w:cs="宋体"/>
          <w:sz w:val="24"/>
          <w:szCs w:val="24"/>
        </w:rPr>
      </w:pPr>
      <w:r>
        <w:rPr>
          <w:rFonts w:hint="eastAsia" w:ascii="宋体" w:hAnsi="宋体" w:cs="宋体"/>
          <w:sz w:val="24"/>
          <w:szCs w:val="24"/>
        </w:rPr>
        <w:t>甲方：广西中马钦州产业园区孔雀湾混凝土有限公司</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w:t>
      </w:r>
    </w:p>
    <w:p>
      <w:pPr>
        <w:tabs>
          <w:tab w:val="left" w:pos="1080"/>
        </w:tabs>
        <w:spacing w:line="520" w:lineRule="exact"/>
        <w:rPr>
          <w:rFonts w:ascii="宋体" w:hAnsi="宋体" w:cs="仿宋_GB2312"/>
          <w:sz w:val="24"/>
          <w:szCs w:val="24"/>
        </w:rPr>
      </w:pPr>
      <w:r>
        <w:rPr>
          <w:rFonts w:hint="eastAsia" w:ascii="宋体" w:hAnsi="宋体" w:cs="宋体"/>
          <w:sz w:val="24"/>
          <w:szCs w:val="24"/>
        </w:rPr>
        <w:t>社会统一信用代码：</w:t>
      </w:r>
    </w:p>
    <w:p>
      <w:pPr>
        <w:tabs>
          <w:tab w:val="left" w:pos="1080"/>
        </w:tabs>
        <w:spacing w:line="520" w:lineRule="exact"/>
        <w:rPr>
          <w:rFonts w:ascii="宋体" w:hAnsi="宋体" w:cs="仿宋_GB2312"/>
          <w:sz w:val="24"/>
          <w:szCs w:val="24"/>
        </w:rPr>
      </w:pPr>
      <w:r>
        <w:rPr>
          <w:rFonts w:hint="eastAsia" w:ascii="宋体" w:hAnsi="宋体" w:cs="仿宋_GB2312"/>
          <w:sz w:val="24"/>
          <w:szCs w:val="24"/>
        </w:rPr>
        <w:t>注册地址：</w:t>
      </w:r>
      <w:r>
        <w:rPr>
          <w:rFonts w:ascii="宋体" w:hAnsi="宋体" w:cs="仿宋_GB2312"/>
          <w:sz w:val="24"/>
          <w:szCs w:val="24"/>
        </w:rPr>
        <w:t xml:space="preserve"> </w:t>
      </w:r>
    </w:p>
    <w:p>
      <w:pPr>
        <w:tabs>
          <w:tab w:val="left" w:pos="1080"/>
        </w:tabs>
        <w:spacing w:line="520" w:lineRule="exact"/>
        <w:rPr>
          <w:rFonts w:ascii="宋体" w:hAnsi="宋体" w:cs="宋体"/>
          <w:sz w:val="24"/>
          <w:szCs w:val="24"/>
        </w:rPr>
      </w:pPr>
    </w:p>
    <w:p>
      <w:pPr>
        <w:tabs>
          <w:tab w:val="left" w:pos="900"/>
          <w:tab w:val="left" w:pos="1080"/>
        </w:tabs>
        <w:spacing w:line="520" w:lineRule="exact"/>
        <w:rPr>
          <w:rFonts w:ascii="宋体" w:hAnsi="宋体" w:cs="宋体"/>
          <w:sz w:val="24"/>
          <w:szCs w:val="24"/>
        </w:rPr>
      </w:pPr>
      <w:r>
        <w:rPr>
          <w:rFonts w:hint="eastAsia" w:ascii="宋体" w:hAnsi="宋体" w:cs="宋体"/>
          <w:sz w:val="24"/>
          <w:szCs w:val="24"/>
        </w:rPr>
        <w:t>乙方：</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法定代表人（负责人）：</w:t>
      </w:r>
    </w:p>
    <w:p>
      <w:pPr>
        <w:tabs>
          <w:tab w:val="left" w:pos="1080"/>
        </w:tabs>
        <w:spacing w:line="520" w:lineRule="exact"/>
        <w:rPr>
          <w:rFonts w:ascii="宋体" w:hAnsi="宋体" w:cs="宋体"/>
          <w:sz w:val="24"/>
          <w:szCs w:val="24"/>
        </w:rPr>
      </w:pPr>
      <w:r>
        <w:rPr>
          <w:rFonts w:hint="eastAsia" w:ascii="宋体" w:hAnsi="宋体" w:cs="宋体"/>
          <w:sz w:val="24"/>
          <w:szCs w:val="24"/>
        </w:rPr>
        <w:t>社会统一信用代码：</w:t>
      </w:r>
    </w:p>
    <w:p>
      <w:pPr>
        <w:tabs>
          <w:tab w:val="left" w:pos="1080"/>
        </w:tabs>
        <w:spacing w:line="520" w:lineRule="exact"/>
        <w:rPr>
          <w:rFonts w:ascii="宋体" w:hAnsi="宋体" w:cs="宋体"/>
          <w:sz w:val="24"/>
          <w:szCs w:val="24"/>
        </w:rPr>
      </w:pPr>
      <w:r>
        <w:rPr>
          <w:rFonts w:hint="eastAsia" w:ascii="宋体" w:hAnsi="宋体" w:cs="宋体"/>
          <w:sz w:val="24"/>
          <w:szCs w:val="24"/>
        </w:rPr>
        <w:t>注册地址：</w:t>
      </w:r>
      <w:r>
        <w:rPr>
          <w:rFonts w:ascii="宋体" w:hAnsi="宋体" w:cs="宋体"/>
          <w:sz w:val="24"/>
          <w:szCs w:val="24"/>
        </w:rPr>
        <w:t xml:space="preserve"> </w:t>
      </w:r>
    </w:p>
    <w:p>
      <w:pPr>
        <w:tabs>
          <w:tab w:val="left" w:pos="1080"/>
        </w:tabs>
        <w:spacing w:line="520" w:lineRule="exact"/>
        <w:rPr>
          <w:rFonts w:ascii="宋体" w:hAnsi="宋体" w:cs="宋体"/>
          <w:sz w:val="24"/>
          <w:szCs w:val="24"/>
        </w:rPr>
      </w:pPr>
    </w:p>
    <w:p>
      <w:pPr>
        <w:tabs>
          <w:tab w:val="left" w:pos="1080"/>
        </w:tabs>
        <w:spacing w:line="520" w:lineRule="exact"/>
        <w:ind w:firstLine="470" w:firstLineChars="196"/>
        <w:rPr>
          <w:rFonts w:ascii="宋体" w:hAnsi="宋体" w:cs="宋体"/>
          <w:sz w:val="24"/>
          <w:szCs w:val="24"/>
        </w:rPr>
      </w:pPr>
      <w:r>
        <w:rPr>
          <w:rFonts w:hint="eastAsia" w:ascii="宋体" w:hAnsi="宋体" w:cs="宋体"/>
          <w:sz w:val="24"/>
          <w:szCs w:val="24"/>
        </w:rPr>
        <w:t>根据《中华人民共和国民法典》及有关法律法规的规定，本着诚信、平等互利的原则，甲、乙双方经友好协商，就甲方将位于</w:t>
      </w:r>
      <w:r>
        <w:rPr>
          <w:rFonts w:hint="eastAsia" w:ascii="宋体" w:hAnsi="宋体" w:cs="宋体"/>
          <w:sz w:val="24"/>
          <w:szCs w:val="24"/>
          <w:u w:val="single"/>
        </w:rPr>
        <w:t>广西中马钦州产业园区孔雀湾混凝土有限公司保安服务</w:t>
      </w:r>
      <w:r>
        <w:rPr>
          <w:rFonts w:hint="eastAsia" w:ascii="宋体" w:hAnsi="宋体" w:cs="宋体"/>
          <w:sz w:val="24"/>
          <w:szCs w:val="24"/>
        </w:rPr>
        <w:t>承包给乙方，由乙方提供保安服务，甲方支付保安服务费等事宜协商一致，签订本合同，以资共同信守执行。</w:t>
      </w:r>
    </w:p>
    <w:p>
      <w:pPr>
        <w:tabs>
          <w:tab w:val="left" w:pos="1080"/>
        </w:tabs>
        <w:spacing w:line="520" w:lineRule="exact"/>
        <w:ind w:firstLine="470" w:firstLineChars="196"/>
        <w:outlineLvl w:val="0"/>
        <w:rPr>
          <w:rFonts w:ascii="宋体" w:hAnsi="宋体" w:cs="宋体"/>
          <w:sz w:val="24"/>
          <w:szCs w:val="24"/>
        </w:rPr>
      </w:pPr>
      <w:r>
        <w:rPr>
          <w:rFonts w:hint="eastAsia" w:ascii="宋体" w:hAnsi="宋体" w:cs="宋体"/>
          <w:sz w:val="24"/>
          <w:szCs w:val="24"/>
        </w:rPr>
        <w:t>第一条  总则</w:t>
      </w:r>
    </w:p>
    <w:p>
      <w:pPr>
        <w:tabs>
          <w:tab w:val="left" w:pos="1080"/>
        </w:tabs>
        <w:spacing w:line="520" w:lineRule="exact"/>
        <w:ind w:firstLine="470" w:firstLineChars="196"/>
        <w:rPr>
          <w:rFonts w:ascii="宋体" w:hAnsi="宋体" w:cs="宋体"/>
          <w:sz w:val="24"/>
          <w:szCs w:val="24"/>
        </w:rPr>
      </w:pPr>
      <w:r>
        <w:rPr>
          <w:rFonts w:hint="eastAsia" w:ascii="宋体" w:hAnsi="宋体" w:cs="宋体"/>
          <w:sz w:val="24"/>
          <w:szCs w:val="24"/>
        </w:rPr>
        <w:t>乙方为甲方位于中马产业园区启动区混凝土搅拌站项目（以下简称：服务区域）提供保安服务，甲方支付保安服务费。乙方应严格贯彻执行国家和当地政府的消防法规和有关指示并熟练掌握服务区域内消防总控设备的性能、用途及各设施的操作程序，熟悉掌握服务区域内消防设施、消防器材设置的分布情况，做好防护、防火、防盗、防患等安全管理工作。</w:t>
      </w:r>
    </w:p>
    <w:p>
      <w:pPr>
        <w:tabs>
          <w:tab w:val="left" w:pos="540"/>
        </w:tabs>
        <w:spacing w:line="520" w:lineRule="exact"/>
        <w:ind w:left="420"/>
        <w:outlineLvl w:val="0"/>
        <w:rPr>
          <w:rFonts w:ascii="宋体" w:hAnsi="宋体" w:cs="宋体"/>
          <w:sz w:val="24"/>
          <w:szCs w:val="24"/>
        </w:rPr>
      </w:pPr>
      <w:r>
        <w:rPr>
          <w:rFonts w:hint="eastAsia" w:ascii="宋体" w:hAnsi="宋体" w:cs="宋体"/>
          <w:sz w:val="24"/>
          <w:szCs w:val="24"/>
        </w:rPr>
        <w:t xml:space="preserve"> 第二条  合同期限</w:t>
      </w:r>
    </w:p>
    <w:p>
      <w:pPr>
        <w:spacing w:line="520" w:lineRule="exact"/>
        <w:ind w:left="420"/>
        <w:rPr>
          <w:rFonts w:ascii="宋体" w:hAnsi="宋体" w:cs="宋体"/>
          <w:color w:val="000000"/>
          <w:sz w:val="24"/>
          <w:szCs w:val="24"/>
        </w:rPr>
      </w:pPr>
      <w:r>
        <w:rPr>
          <w:rFonts w:hint="eastAsia" w:ascii="宋体" w:hAnsi="宋体" w:cs="宋体"/>
          <w:color w:val="000000"/>
          <w:sz w:val="24"/>
          <w:szCs w:val="24"/>
        </w:rPr>
        <w:t>合同期限为</w:t>
      </w:r>
      <w:r>
        <w:rPr>
          <w:rFonts w:hint="eastAsia" w:ascii="宋体" w:hAnsi="宋体" w:cs="宋体"/>
          <w:color w:val="000000"/>
          <w:sz w:val="24"/>
          <w:szCs w:val="24"/>
          <w:u w:val="single"/>
        </w:rPr>
        <w:t xml:space="preserve">  壹 年 </w:t>
      </w:r>
      <w:r>
        <w:rPr>
          <w:rFonts w:hint="eastAsia" w:ascii="宋体" w:hAnsi="宋体" w:cs="宋体"/>
          <w:color w:val="000000"/>
          <w:sz w:val="24"/>
          <w:szCs w:val="24"/>
        </w:rPr>
        <w:t>，自</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日起至</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日止。</w:t>
      </w:r>
    </w:p>
    <w:p>
      <w:pPr>
        <w:tabs>
          <w:tab w:val="left" w:pos="540"/>
        </w:tabs>
        <w:spacing w:line="520" w:lineRule="exact"/>
        <w:ind w:firstLine="480" w:firstLineChars="200"/>
        <w:outlineLvl w:val="0"/>
        <w:rPr>
          <w:rFonts w:ascii="宋体" w:hAnsi="宋体" w:cs="宋体"/>
          <w:sz w:val="24"/>
          <w:szCs w:val="24"/>
        </w:rPr>
      </w:pPr>
      <w:r>
        <w:rPr>
          <w:rFonts w:hint="eastAsia" w:ascii="宋体" w:hAnsi="宋体" w:cs="宋体"/>
          <w:sz w:val="24"/>
          <w:szCs w:val="24"/>
        </w:rPr>
        <w:t xml:space="preserve">第三条  乙方为服务区域提供以下服务事项 </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3.1消防及安全管理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乙方及其保安人员应认真贯彻“预防为主、防消结合”的方针，制定安全防范措施，杜绝安全隐患，做好突发事件防范及应急处理，保证紧急出口及安全门24小时保持畅通，确保服务区域内全体人员和财物的安全。</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3.2防盗窃管理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乙方须对出入服务区域的车辆、人员做详细摘录，确保货物进出须持有效凭证或单据，防止和打击盗窃等犯罪活动，确保服务区域内人员人身、物品的安全；对于发生在服务区域内的刑事案件、治安案件和治安灾害事故等，及时处理并报告甲方和当地公安机关，且采取措施保护案发现场，协助公安机关侦查各类治安刑事案件，并依法妥善处理职责人范围内的其他突发事件。</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3.3灾害防患管理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 xml:space="preserve"> 乙方及其人员应熟练掌握服务区域内工作规律及特点，加强重点岗位的安全防范，对来访人员按相关制度礼貌接待，严禁无关人员携带易燃易爆物品进入服务区域，并掌握当地政府有关安全警告的通知，及时做好防范措施。</w:t>
      </w:r>
    </w:p>
    <w:p>
      <w:pPr>
        <w:tabs>
          <w:tab w:val="left" w:pos="916"/>
          <w:tab w:val="left" w:pos="1080"/>
        </w:tabs>
        <w:spacing w:line="520" w:lineRule="exact"/>
        <w:ind w:firstLine="482" w:firstLineChars="200"/>
        <w:rPr>
          <w:rFonts w:ascii="宋体" w:hAnsi="宋体" w:cs="宋体"/>
          <w:b/>
          <w:bCs/>
          <w:sz w:val="24"/>
          <w:szCs w:val="24"/>
        </w:rPr>
      </w:pPr>
      <w:r>
        <w:rPr>
          <w:rFonts w:hint="eastAsia" w:ascii="宋体" w:hAnsi="宋体" w:cs="宋体"/>
          <w:b/>
          <w:sz w:val="24"/>
          <w:szCs w:val="24"/>
        </w:rPr>
        <w:t>3.4</w:t>
      </w:r>
      <w:r>
        <w:rPr>
          <w:rFonts w:hint="eastAsia" w:ascii="宋体" w:hAnsi="宋体" w:cs="宋体"/>
          <w:b/>
          <w:bCs/>
          <w:sz w:val="24"/>
          <w:szCs w:val="24"/>
        </w:rPr>
        <w:t>突发事件处置管理，</w:t>
      </w:r>
      <w:r>
        <w:rPr>
          <w:rFonts w:hint="eastAsia" w:ascii="宋体" w:hAnsi="宋体" w:cs="宋体"/>
          <w:bCs/>
          <w:sz w:val="24"/>
          <w:szCs w:val="24"/>
        </w:rPr>
        <w:t>具体详见根据甲、乙双方确认的《安全防范方案》</w:t>
      </w:r>
      <w:r>
        <w:rPr>
          <w:rFonts w:hint="eastAsia" w:ascii="宋体" w:hAnsi="宋体" w:cs="宋体"/>
          <w:b/>
          <w:bCs/>
          <w:sz w:val="24"/>
          <w:szCs w:val="24"/>
        </w:rPr>
        <w:t>。</w:t>
      </w:r>
    </w:p>
    <w:p>
      <w:pPr>
        <w:tabs>
          <w:tab w:val="left" w:pos="720"/>
        </w:tabs>
        <w:spacing w:line="520" w:lineRule="exact"/>
        <w:ind w:left="420"/>
        <w:outlineLvl w:val="0"/>
        <w:rPr>
          <w:rFonts w:ascii="宋体" w:hAnsi="宋体" w:cs="宋体"/>
          <w:sz w:val="24"/>
          <w:szCs w:val="24"/>
        </w:rPr>
      </w:pPr>
      <w:r>
        <w:rPr>
          <w:rFonts w:hint="eastAsia" w:ascii="宋体" w:hAnsi="宋体" w:cs="宋体"/>
          <w:sz w:val="24"/>
          <w:szCs w:val="24"/>
        </w:rPr>
        <w:t>第四条  甲方的权利和义务</w:t>
      </w:r>
    </w:p>
    <w:p>
      <w:pPr>
        <w:spacing w:line="520" w:lineRule="exact"/>
        <w:ind w:left="540"/>
        <w:rPr>
          <w:rFonts w:ascii="宋体" w:hAnsi="宋体" w:cs="宋体"/>
          <w:sz w:val="24"/>
          <w:szCs w:val="24"/>
        </w:rPr>
      </w:pPr>
      <w:r>
        <w:rPr>
          <w:rFonts w:hint="eastAsia" w:ascii="宋体" w:hAnsi="宋体" w:cs="宋体"/>
          <w:sz w:val="24"/>
          <w:szCs w:val="24"/>
        </w:rPr>
        <w:t>4.1教育乙方员工遵守安全防范规章制度，提高乙方员工安全防范意识；</w:t>
      </w:r>
    </w:p>
    <w:p>
      <w:pPr>
        <w:tabs>
          <w:tab w:val="left" w:pos="180"/>
          <w:tab w:val="left" w:pos="360"/>
        </w:tabs>
        <w:spacing w:line="520" w:lineRule="exact"/>
        <w:ind w:firstLine="480" w:firstLineChars="200"/>
        <w:rPr>
          <w:rFonts w:ascii="宋体" w:hAnsi="宋体" w:cs="宋体"/>
          <w:sz w:val="24"/>
          <w:szCs w:val="24"/>
        </w:rPr>
      </w:pPr>
      <w:r>
        <w:rPr>
          <w:rFonts w:hint="eastAsia" w:ascii="宋体" w:hAnsi="宋体" w:cs="宋体"/>
          <w:sz w:val="24"/>
          <w:szCs w:val="24"/>
        </w:rPr>
        <w:t>4.2对乙方提出的安全防范隐患报告应及时做出答复和实施，并支持乙方保安人员做好应急处理及安全管理工作；</w:t>
      </w:r>
    </w:p>
    <w:p>
      <w:pPr>
        <w:tabs>
          <w:tab w:val="left" w:pos="36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4.3为乙方保安人员提供必备的工作条件，包括值班室，办公桌椅，并提供服务区域内主要负责人的联络通讯方式；</w:t>
      </w:r>
    </w:p>
    <w:p>
      <w:pPr>
        <w:tabs>
          <w:tab w:val="left" w:pos="180"/>
          <w:tab w:val="left" w:pos="360"/>
        </w:tabs>
        <w:spacing w:line="520" w:lineRule="exact"/>
        <w:ind w:firstLine="480" w:firstLineChars="200"/>
        <w:rPr>
          <w:rFonts w:ascii="宋体" w:hAnsi="宋体" w:cs="宋体"/>
          <w:sz w:val="24"/>
          <w:szCs w:val="24"/>
        </w:rPr>
      </w:pPr>
      <w:r>
        <w:rPr>
          <w:rFonts w:hint="eastAsia" w:ascii="宋体" w:hAnsi="宋体" w:cs="宋体"/>
          <w:sz w:val="24"/>
          <w:szCs w:val="24"/>
        </w:rPr>
        <w:t>4.4甲方有权随时督察乙方保安人员的工作质量，并有权随时提出更换人员，乙方应在收到甲方要求后四十八小时内予以更换；</w:t>
      </w:r>
    </w:p>
    <w:p>
      <w:pPr>
        <w:tabs>
          <w:tab w:val="left" w:pos="36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4.5甲方应按时支付乙方的保安服务费用；</w:t>
      </w:r>
    </w:p>
    <w:p>
      <w:pPr>
        <w:tabs>
          <w:tab w:val="left" w:pos="36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4.6</w:t>
      </w:r>
      <w:r>
        <w:rPr>
          <w:rFonts w:hint="eastAsia" w:ascii="宋体" w:hAnsi="宋体" w:cs="宋体"/>
          <w:sz w:val="24"/>
          <w:szCs w:val="24"/>
        </w:rPr>
        <w:t>甲方可按业务需要要求乙方增加或减少保安人员，但须提前10天通知乙方，乙方应及时按甲方的要求安排。增加保安人员工资待遇与本合同相同，双方另行签订补充协议；</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4.7甲方有权检查乙方以下工作：</w:t>
      </w:r>
    </w:p>
    <w:p>
      <w:pPr>
        <w:pStyle w:val="7"/>
        <w:tabs>
          <w:tab w:val="left" w:pos="1080"/>
        </w:tabs>
        <w:spacing w:line="520" w:lineRule="exact"/>
        <w:ind w:left="0" w:leftChars="0"/>
        <w:rPr>
          <w:rFonts w:ascii="宋体" w:hAnsi="宋体" w:cs="宋体"/>
          <w:color w:val="000000"/>
          <w:sz w:val="24"/>
          <w:szCs w:val="24"/>
        </w:rPr>
      </w:pPr>
      <w:r>
        <w:rPr>
          <w:rFonts w:hint="eastAsia" w:ascii="宋体" w:hAnsi="宋体" w:cs="宋体"/>
          <w:color w:val="000000"/>
          <w:sz w:val="24"/>
          <w:szCs w:val="24"/>
        </w:rPr>
        <w:t xml:space="preserve">    对乙方的内部检查包括日查、月检、季检。</w:t>
      </w:r>
    </w:p>
    <w:p>
      <w:pPr>
        <w:pStyle w:val="7"/>
        <w:tabs>
          <w:tab w:val="left" w:pos="1080"/>
        </w:tabs>
        <w:spacing w:line="520" w:lineRule="exact"/>
        <w:ind w:left="0" w:leftChars="0"/>
        <w:rPr>
          <w:rFonts w:ascii="宋体" w:hAnsi="宋体" w:cs="宋体"/>
          <w:color w:val="000000"/>
          <w:sz w:val="24"/>
          <w:szCs w:val="24"/>
        </w:rPr>
      </w:pPr>
      <w:r>
        <w:rPr>
          <w:rFonts w:hint="eastAsia" w:ascii="宋体" w:hAnsi="宋体" w:cs="宋体"/>
          <w:color w:val="000000"/>
          <w:sz w:val="24"/>
          <w:szCs w:val="24"/>
        </w:rPr>
        <w:t xml:space="preserve">    4.7.1.日查：甲方有权每日对乙方现场管理人员安全工作进行监控并对其安全服务质量进行一次检查，并记录。</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4.7.2.月检：甲方负责人组织乙方负责人或经理级别及以上负责人、现场负责人，共同对服务区域内的服务质量每月至少进行一次全面检查和考评。具体检查时间和方法，不提前知会乙方。甲方根据检查结果填写记录，双方签字确认后各留一份。</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4.7.3.季检：甲方运营部每季度组织一次安全服务质量检查，具体的检查时间和方法，不提前知会乙方。乙方须将书面检查结果呈送甲方，检查结果作为对乙方的考核依据。</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4.7.4.抽查：甲方每月将有不定期的日间抽查，具体检查时间和方法，不提前知会乙方。乙方须将书面检查结果提交甲方，检查结果将作为乙方的考核依据，乙方对此同意且无异议。</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4.8保安服务考核标准（附件二）</w:t>
      </w:r>
    </w:p>
    <w:p>
      <w:pPr>
        <w:tabs>
          <w:tab w:val="left" w:pos="36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第五条  乙方的权利和义务</w:t>
      </w:r>
    </w:p>
    <w:p>
      <w:pPr>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5.1乙方保证具有保安安全外包服务资质及保安外包派遣资质，保证提供企业营业执照、法定代表人证明书、法定代表人身份证、组织机构代码证的复印件并加盖公章及法人委托书等有关文件提交给甲方。乙方保证所提供的证、照均为依法所得，无任何伪造虚假之情形，并确保相关许可和资质在合同履行期限内处于有效状态，如乙方违反本条任何约定，甲方有权随时单方解除合同且无需对乙方承担任何违约责任，乙方应承担违约责任并赔偿由此给甲方造成的一切经济损失。</w:t>
      </w:r>
    </w:p>
    <w:p>
      <w:pPr>
        <w:spacing w:line="520" w:lineRule="exact"/>
        <w:ind w:firstLine="480" w:firstLineChars="200"/>
        <w:rPr>
          <w:rFonts w:ascii="宋体" w:hAnsi="宋体" w:cs="宋体"/>
          <w:sz w:val="24"/>
          <w:szCs w:val="24"/>
        </w:rPr>
      </w:pPr>
      <w:r>
        <w:rPr>
          <w:rFonts w:hint="eastAsia" w:ascii="宋体" w:hAnsi="宋体" w:cs="宋体"/>
          <w:sz w:val="24"/>
          <w:szCs w:val="24"/>
        </w:rPr>
        <w:t>5.2乙方派驻服务区域的保安人员编制为</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人，乙方选派的保安人员必须经过正规的保安培训并取得相关资格证书，无违法犯罪前科，且须向甲方提供保安人员的人事档案。乙方若更换保安须提前一周报甲方书面同意，乙方应根据甲方要求随时向甲方提供保安人员的详细身份资料；乙方须自行提供保安人员的所有装备，并负责对保安人员的在岗培训和管理，保安人员必须严格执行安全管理条例，加强防范力度，严格遵守甲方的各项规章制度，严格履行《安全防范方案》和甲方的《警卫管理制度》等规定的岗位职责要求；</w:t>
      </w:r>
    </w:p>
    <w:p>
      <w:pPr>
        <w:spacing w:line="520" w:lineRule="exact"/>
        <w:ind w:firstLine="480" w:firstLineChars="200"/>
        <w:rPr>
          <w:rFonts w:ascii="宋体" w:hAnsi="宋体" w:cs="宋体"/>
          <w:sz w:val="24"/>
          <w:szCs w:val="24"/>
        </w:rPr>
      </w:pPr>
      <w:r>
        <w:rPr>
          <w:rFonts w:hint="eastAsia" w:ascii="宋体" w:hAnsi="宋体" w:cs="宋体"/>
          <w:sz w:val="24"/>
          <w:szCs w:val="24"/>
        </w:rPr>
        <w:t>5.3乙方须自行提供保安人员的所有装备，并负责对保安人员的在岗培训和管理，乙方须确保保安人员必须严格执行安全管理条例，加强防范力度，严格遵守甲方的各项规章制度，严格履行甲方《安全防范方案》和《警卫管理制度》等规定的岗位职责要求，乙方已充分知晓相关规章制度的内容和要求；</w:t>
      </w:r>
    </w:p>
    <w:p>
      <w:pPr>
        <w:tabs>
          <w:tab w:val="left" w:pos="36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5.4乙方对发生在服务区域的刑事案件，治安案件和治安灾害事故，负责采取果断应对处理措施并及时报告甲方和当地公安机关，且应注意保护案发现场，积极协助公安人员侦查破案；</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5.5对甲方提出更换保安人员的要求，乙方应在二天内无条件给予更换；</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5.6乙方保安人员必须认真学习国家的法律法规和保安的各项规章制度，不断提高法制观念和业务水平；</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5.7依据本合同，由于乙方保安人员的过失或故意行为造成甲方或者其他第三方人员经济或其他损失的，乙方负责承担全部责任。乙方保安人员在工作期间违反法律、法规、行业惯例、本合同、职业道德等，给甲方造成损失的，甲方有权直接要求乙方承担违约责任。乙方保安人员实施的与工作无关的行为给甲方造成任何人员、物品、金钱损失的，乙方应对此损失负完全连带赔偿责任。</w:t>
      </w:r>
    </w:p>
    <w:p>
      <w:pPr>
        <w:spacing w:line="520" w:lineRule="exact"/>
        <w:ind w:firstLine="480" w:firstLineChars="200"/>
        <w:rPr>
          <w:rFonts w:ascii="宋体" w:hAnsi="宋体" w:cs="宋体"/>
          <w:sz w:val="24"/>
          <w:szCs w:val="24"/>
        </w:rPr>
      </w:pPr>
      <w:r>
        <w:rPr>
          <w:rFonts w:hint="eastAsia" w:ascii="宋体" w:hAnsi="宋体" w:cs="宋体"/>
          <w:sz w:val="24"/>
          <w:szCs w:val="24"/>
        </w:rPr>
        <w:t>5.8乙方提供的</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rPr>
        <w:t>名保安人员，所有人员的工资及相关社会保险费用、相关保险费用等均含在保安服务费中，由乙方负责支付。乙方应合法用工，并遵守国家、地方相关劳动法规的规定。如遇任何劳动纠纷或在本合同期限内任何期间乙方人员造成伤亡事故，相关一切责任均由乙方负责，甲方不承担任何责任，乙方对此表示同意且无异议；</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5.9乙方对保安人员应严格按乙方颁布的《保安工作手册》进行培训管理，并配备所有执勤器材，选派的保安人员应得到甲方的认可；</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5.10乙方委派的保安应严格履行甲方所规定的《保安岗位职责》，完成甲方提出的工作任务，甲方应将《保安岗位职责》送交乙方；</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5.11乙方应有备员及时补充，以确保派驻甲方的保安人员不缺岗。如发生缺岗或乙方人员违反本合同约定的，甲方有权双倍扣除该名人员当月的保安服务费用，并视损失情况要求乙方给予赔偿；</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5.12乙方保安队员的加班费、超时费、节假日加班费、住宿、奖金、饭补，均由乙方自行负责支付发给。</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5.13乙方派驻服务区域的保安人员必须在岗位上着公司规定统一服装，佩戴执勤标志，并保持仪容、仪表的整洁；</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5.14乙方派驻服务区域的保安人员必须做到文明执勤，礼貌待人，不刁难业主及来访人员；</w:t>
      </w:r>
    </w:p>
    <w:p>
      <w:pPr>
        <w:tabs>
          <w:tab w:val="left" w:pos="360"/>
          <w:tab w:val="left" w:pos="1080"/>
        </w:tabs>
        <w:spacing w:line="520" w:lineRule="exact"/>
        <w:ind w:firstLine="480" w:firstLineChars="200"/>
        <w:rPr>
          <w:rFonts w:ascii="宋体" w:hAnsi="宋体" w:cs="宋体"/>
          <w:sz w:val="24"/>
          <w:szCs w:val="24"/>
          <w:lang w:eastAsia="zh-TW"/>
        </w:rPr>
      </w:pPr>
      <w:r>
        <w:rPr>
          <w:rFonts w:hint="eastAsia" w:ascii="宋体" w:hAnsi="宋体" w:cs="宋体"/>
          <w:sz w:val="24"/>
          <w:szCs w:val="24"/>
        </w:rPr>
        <w:t>5.15乙方派驻服务区域的保安人员需无条件遵守甲方管理规范，同时对于甲方于值勤时内所提出的任何任务皆需完成配合；如乙方人员打人、骂人及侮辱他人，利用职权，索取馈赠，徇私舞弊，一经发现，即报送公安机关处理处理，乙方届时应予以配合并及时安排合格人员到岗，甲方所支付保安服务费用不因此增加；</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5.16如乙方派驻服务区域的保安人员不符合上述要求，造成甲方任何损失的，均由乙方承担赔偿责任。</w:t>
      </w:r>
    </w:p>
    <w:p>
      <w:pPr>
        <w:tabs>
          <w:tab w:val="left" w:pos="720"/>
        </w:tabs>
        <w:spacing w:line="520" w:lineRule="exact"/>
        <w:ind w:left="420"/>
        <w:outlineLvl w:val="0"/>
        <w:rPr>
          <w:rFonts w:ascii="宋体" w:hAnsi="宋体" w:cs="宋体"/>
          <w:sz w:val="24"/>
          <w:szCs w:val="24"/>
        </w:rPr>
      </w:pPr>
      <w:r>
        <w:rPr>
          <w:rFonts w:hint="eastAsia" w:ascii="宋体" w:hAnsi="宋体" w:cs="宋体"/>
          <w:color w:val="000000"/>
          <w:sz w:val="24"/>
          <w:szCs w:val="24"/>
        </w:rPr>
        <w:t xml:space="preserve">第六条  </w:t>
      </w:r>
      <w:r>
        <w:rPr>
          <w:rFonts w:hint="eastAsia" w:ascii="宋体" w:hAnsi="宋体" w:cs="宋体"/>
          <w:sz w:val="24"/>
          <w:szCs w:val="24"/>
        </w:rPr>
        <w:t>合同金额及付款方式</w:t>
      </w:r>
    </w:p>
    <w:p>
      <w:pPr>
        <w:tabs>
          <w:tab w:val="left" w:pos="42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6.1甲方向乙方支付的保安服务费用按照</w:t>
      </w:r>
      <w:r>
        <w:rPr>
          <w:rFonts w:hint="eastAsia" w:ascii="宋体" w:hAnsi="宋体" w:cs="宋体"/>
          <w:sz w:val="24"/>
          <w:szCs w:val="24"/>
          <w:u w:val="single"/>
        </w:rPr>
        <w:t xml:space="preserve"> </w:t>
      </w:r>
      <w:r>
        <w:rPr>
          <w:rFonts w:ascii="宋体" w:hAnsi="宋体" w:cs="宋体"/>
          <w:b/>
          <w:bCs/>
          <w:sz w:val="24"/>
          <w:szCs w:val="24"/>
          <w:u w:val="single"/>
        </w:rPr>
        <w:t xml:space="preserve">   </w:t>
      </w:r>
      <w:r>
        <w:rPr>
          <w:rFonts w:hint="eastAsia" w:ascii="宋体" w:hAnsi="宋体" w:cs="宋体"/>
          <w:b/>
          <w:bCs/>
          <w:sz w:val="24"/>
          <w:szCs w:val="24"/>
          <w:u w:val="single"/>
        </w:rPr>
        <w:t xml:space="preserve"> </w:t>
      </w:r>
      <w:r>
        <w:rPr>
          <w:rFonts w:hint="eastAsia" w:ascii="宋体" w:hAnsi="宋体" w:cs="宋体"/>
          <w:b/>
          <w:bCs/>
          <w:sz w:val="24"/>
          <w:szCs w:val="24"/>
        </w:rPr>
        <w:t>元</w:t>
      </w:r>
      <w:r>
        <w:rPr>
          <w:rFonts w:hint="eastAsia" w:ascii="宋体" w:hAnsi="宋体" w:cs="宋体"/>
          <w:b/>
          <w:sz w:val="24"/>
          <w:szCs w:val="24"/>
        </w:rPr>
        <w:t>/人·月</w:t>
      </w:r>
      <w:r>
        <w:rPr>
          <w:rFonts w:hint="eastAsia" w:ascii="宋体" w:hAnsi="宋体" w:cs="宋体"/>
          <w:sz w:val="24"/>
          <w:szCs w:val="24"/>
        </w:rPr>
        <w:t>计算，共</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人(按包岗制支付，最多不超过 3 人)，上述保安服务费固定包干。乙方负责依法、及时向其员工支付相关所有劳动报酬、社会保险费用、国家法定节假日的补助费用及相关食宿补贴，包括但不限于基本工资、社会福利、工伤保险、医疗保险、住宿、或是补贴等；乙方负责承担为保安人员配备服装、帽子、帽徽、肩章、领带、腰带、胶警棍等装备（夏装、冬装各两套、大衣一套）的一切费用。</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上述保安服务费固定包干，在合同有效期间，不因任何外界条件的改变而改变本合同服务费用。</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6.2甲方在收到乙方出具的相应金额合法足额发票后（若乙方逾期提交发票，甲方有权顺延推迟支付保安服务费），甲方于每月15 日前支付上月度</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名保安服务费共人民币大写</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元）</w:t>
      </w:r>
      <w:r>
        <w:rPr>
          <w:rFonts w:hint="eastAsia" w:ascii="宋体" w:hAnsi="宋体" w:cs="宋体"/>
          <w:sz w:val="24"/>
          <w:szCs w:val="24"/>
        </w:rPr>
        <w:t>到乙方以下账户：</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账户名称：</w:t>
      </w:r>
      <w:r>
        <w:rPr>
          <w:rFonts w:hint="eastAsia" w:ascii="宋体" w:hAnsi="宋体"/>
          <w:sz w:val="24"/>
        </w:rPr>
        <w:t xml:space="preserve"> </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账   号：</w:t>
      </w:r>
    </w:p>
    <w:p>
      <w:pPr>
        <w:tabs>
          <w:tab w:val="left" w:pos="540"/>
        </w:tabs>
        <w:spacing w:line="520" w:lineRule="exact"/>
        <w:ind w:firstLine="480" w:firstLineChars="200"/>
        <w:rPr>
          <w:rFonts w:ascii="宋体" w:hAnsi="宋体" w:cs="宋体"/>
          <w:b/>
          <w:sz w:val="24"/>
          <w:szCs w:val="24"/>
        </w:rPr>
      </w:pPr>
      <w:r>
        <w:rPr>
          <w:rFonts w:hint="eastAsia" w:ascii="宋体" w:hAnsi="宋体" w:cs="宋体"/>
          <w:sz w:val="24"/>
          <w:szCs w:val="24"/>
        </w:rPr>
        <w:t>开户银行：</w:t>
      </w:r>
      <w:r>
        <w:rPr>
          <w:rFonts w:ascii="宋体" w:hAnsi="宋体" w:cs="宋体"/>
          <w:b/>
          <w:sz w:val="24"/>
          <w:szCs w:val="24"/>
        </w:rPr>
        <w:t xml:space="preserve"> </w:t>
      </w:r>
    </w:p>
    <w:p>
      <w:pPr>
        <w:tabs>
          <w:tab w:val="left" w:pos="540"/>
        </w:tabs>
        <w:spacing w:line="520" w:lineRule="exact"/>
        <w:ind w:firstLine="480" w:firstLineChars="200"/>
        <w:outlineLvl w:val="0"/>
        <w:rPr>
          <w:rFonts w:ascii="宋体" w:hAnsi="宋体" w:cs="宋体"/>
          <w:sz w:val="24"/>
          <w:szCs w:val="24"/>
        </w:rPr>
      </w:pPr>
      <w:r>
        <w:rPr>
          <w:rStyle w:val="22"/>
          <w:rFonts w:hint="eastAsia" w:ascii="宋体" w:hAnsi="宋体"/>
          <w:sz w:val="24"/>
          <w:szCs w:val="24"/>
        </w:rPr>
        <w:t>6.3</w:t>
      </w:r>
      <w:r>
        <w:rPr>
          <w:rFonts w:hint="eastAsia" w:ascii="宋体" w:hAnsi="宋体"/>
          <w:sz w:val="24"/>
          <w:szCs w:val="24"/>
        </w:rPr>
        <w:t>乙方可采取</w:t>
      </w:r>
      <w:r>
        <w:rPr>
          <w:rFonts w:hint="eastAsia" w:ascii="宋体" w:hAnsi="宋体"/>
          <w:sz w:val="24"/>
          <w:szCs w:val="24"/>
          <w:u w:val="single"/>
        </w:rPr>
        <w:t>12小时</w:t>
      </w:r>
      <w:r>
        <w:rPr>
          <w:rFonts w:hint="eastAsia" w:ascii="宋体" w:hAnsi="宋体"/>
          <w:sz w:val="24"/>
          <w:szCs w:val="24"/>
        </w:rPr>
        <w:t>工作班制，但需保证不得出现缺岗、脱岗，且每月结算总费用不得超过</w:t>
      </w:r>
      <w:r>
        <w:rPr>
          <w:rFonts w:hint="eastAsia" w:ascii="宋体" w:hAnsi="宋体" w:cs="宋体"/>
          <w:sz w:val="24"/>
          <w:szCs w:val="24"/>
        </w:rPr>
        <w:t>大写</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w:t>
      </w:r>
      <w:r>
        <w:rPr>
          <w:rFonts w:ascii="宋体" w:hAnsi="宋体" w:cs="宋体"/>
          <w:sz w:val="24"/>
          <w:szCs w:val="24"/>
          <w:u w:val="single"/>
        </w:rPr>
        <w:t xml:space="preserve">    </w:t>
      </w:r>
      <w:r>
        <w:rPr>
          <w:rFonts w:hint="eastAsia" w:ascii="宋体" w:hAnsi="宋体" w:cs="宋体"/>
          <w:sz w:val="24"/>
          <w:szCs w:val="24"/>
          <w:u w:val="single"/>
        </w:rPr>
        <w:t xml:space="preserve">元） </w:t>
      </w:r>
      <w:r>
        <w:rPr>
          <w:rFonts w:hint="eastAsia" w:ascii="宋体" w:hAnsi="宋体" w:cs="宋体"/>
          <w:sz w:val="24"/>
          <w:szCs w:val="24"/>
        </w:rPr>
        <w:t>。</w:t>
      </w:r>
    </w:p>
    <w:p>
      <w:pPr>
        <w:tabs>
          <w:tab w:val="left" w:pos="54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第七条  违约责任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 xml:space="preserve">7.1若乙方派驻符合甲方要求的合格保安人员数量、全部人员到岗时间未达到合同约定的要求时，甲方有权按照每人/天100元标准追究乙方的违约责任，并有权在保安服务费中直接扣除，且甲方无需向乙方承担违约责任。 </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7.2乙方在为甲方提供保安服务期间，因乙方派驻保安人员疏忽、脱岗、旷工、不遵守甲方相关规章制度等，甲方有权按照每人/小时100元标准追究乙方违约责任，并有权在保安服务费中直接扣除。如由此造成甲方经济损失的，乙方应向甲方承担全部赔偿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7.3依据本合同，由于乙方保安人员的过失或故意行为，造成甲方经济损失的，乙方应向甲方承担全部赔偿责任。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7.4甲方逾期不支付保安服务费的，每日按逾期金额的万分之五计算违约金，违约金上限为欠付金额的1</w:t>
      </w:r>
      <w:r>
        <w:rPr>
          <w:rFonts w:ascii="宋体" w:hAnsi="宋体" w:cs="宋体"/>
          <w:sz w:val="24"/>
          <w:szCs w:val="24"/>
        </w:rPr>
        <w:t>0%</w:t>
      </w:r>
      <w:r>
        <w:rPr>
          <w:rFonts w:hint="eastAsia" w:ascii="宋体" w:hAnsi="宋体" w:cs="宋体"/>
          <w:sz w:val="24"/>
          <w:szCs w:val="24"/>
        </w:rPr>
        <w:t>。如逾期超过一个月未支付保安服务费的，乙方可单方解除合同，并要求甲方支付逾期未付的保安服务费，但甲方有正当理由的除外。</w:t>
      </w:r>
    </w:p>
    <w:p>
      <w:pPr>
        <w:tabs>
          <w:tab w:val="left" w:pos="72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第八条  合同效力</w:t>
      </w:r>
    </w:p>
    <w:p>
      <w:pPr>
        <w:tabs>
          <w:tab w:val="left" w:pos="42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8.1本合同自双方签字并加盖公章或合同专用章之日起生效，合同期限届满，双方履行完应尽义务后终止。</w:t>
      </w:r>
    </w:p>
    <w:p>
      <w:pPr>
        <w:tabs>
          <w:tab w:val="left" w:pos="42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8.2本合同一式肆份，双方各执贰份，自双方法定代表人或授权委托人签章并加盖单位公章之日起生效，具有同等法律效力。</w:t>
      </w:r>
    </w:p>
    <w:p>
      <w:pPr>
        <w:tabs>
          <w:tab w:val="left" w:pos="420"/>
          <w:tab w:val="left" w:pos="720"/>
        </w:tabs>
        <w:spacing w:line="520" w:lineRule="exact"/>
        <w:ind w:firstLine="480" w:firstLineChars="200"/>
        <w:outlineLvl w:val="0"/>
        <w:rPr>
          <w:rFonts w:ascii="宋体" w:hAnsi="宋体" w:cs="宋体"/>
          <w:sz w:val="24"/>
          <w:szCs w:val="24"/>
        </w:rPr>
      </w:pPr>
      <w:r>
        <w:rPr>
          <w:rFonts w:hint="eastAsia" w:ascii="宋体" w:hAnsi="宋体" w:cs="宋体"/>
          <w:sz w:val="24"/>
          <w:szCs w:val="24"/>
        </w:rPr>
        <w:t xml:space="preserve">第九条  争议处理 </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如本合同在履行过程中双方发生争议，应先进行协商解决。若协商不成，双方同意由甲方所在地有管辖权的人民法院管辖。</w:t>
      </w:r>
    </w:p>
    <w:p>
      <w:pPr>
        <w:tabs>
          <w:tab w:val="left" w:pos="540"/>
        </w:tabs>
        <w:spacing w:line="520" w:lineRule="exact"/>
        <w:ind w:firstLine="480" w:firstLineChars="200"/>
        <w:outlineLvl w:val="0"/>
        <w:rPr>
          <w:rFonts w:ascii="宋体" w:hAnsi="宋体" w:cs="宋体"/>
          <w:bCs/>
          <w:sz w:val="24"/>
          <w:szCs w:val="24"/>
        </w:rPr>
      </w:pPr>
      <w:r>
        <w:rPr>
          <w:rFonts w:hint="eastAsia" w:ascii="宋体" w:hAnsi="宋体" w:cs="宋体"/>
          <w:sz w:val="24"/>
          <w:szCs w:val="24"/>
        </w:rPr>
        <w:t xml:space="preserve">第十条  </w:t>
      </w:r>
      <w:r>
        <w:rPr>
          <w:rFonts w:hint="eastAsia" w:ascii="宋体" w:hAnsi="宋体" w:cs="宋体"/>
          <w:bCs/>
          <w:sz w:val="24"/>
          <w:szCs w:val="24"/>
        </w:rPr>
        <w:t>通知</w:t>
      </w:r>
    </w:p>
    <w:p>
      <w:pPr>
        <w:tabs>
          <w:tab w:val="left" w:pos="540"/>
        </w:tabs>
        <w:spacing w:line="520" w:lineRule="exact"/>
        <w:ind w:firstLine="480" w:firstLineChars="200"/>
        <w:rPr>
          <w:rFonts w:ascii="宋体" w:hAnsi="宋体" w:cs="宋体"/>
          <w:sz w:val="24"/>
          <w:szCs w:val="24"/>
        </w:rPr>
      </w:pPr>
      <w:r>
        <w:rPr>
          <w:rFonts w:hint="eastAsia" w:ascii="宋体" w:hAnsi="宋体" w:cs="宋体"/>
          <w:bCs/>
          <w:sz w:val="24"/>
          <w:szCs w:val="24"/>
        </w:rPr>
        <w:t xml:space="preserve">通知：双方确认本合同预留的地址为有效送达地址，任何一方不得拒绝签收对方发来的文件信函，否则一方按对方地址邮寄的文件信函，在交付邮寄后第四天即视为有效送达。改变送达地址的，应当在两日内书面通知对方，否则对方按原地址邮寄的文件仍视为送达，由此产生的法律后果由改变地址的一方承担。  </w:t>
      </w:r>
      <w:r>
        <w:rPr>
          <w:rFonts w:hint="eastAsia" w:ascii="宋体" w:hAnsi="宋体" w:cs="宋体"/>
          <w:b/>
          <w:bCs/>
          <w:sz w:val="24"/>
          <w:szCs w:val="24"/>
        </w:rPr>
        <w:t xml:space="preserve">    </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附件：1.乙方的营业执照及资质</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2</w:t>
      </w:r>
      <w:r>
        <w:rPr>
          <w:rFonts w:hint="eastAsia" w:ascii="宋体" w:hAnsi="宋体" w:cs="宋体"/>
          <w:sz w:val="24"/>
          <w:szCs w:val="24"/>
        </w:rPr>
        <w:t>.保安服务考核标准</w:t>
      </w:r>
    </w:p>
    <w:p>
      <w:pPr>
        <w:tabs>
          <w:tab w:val="left" w:pos="1080"/>
        </w:tabs>
        <w:spacing w:line="520" w:lineRule="exact"/>
        <w:rPr>
          <w:rFonts w:ascii="宋体" w:hAnsi="宋体" w:cs="宋体"/>
          <w:b/>
          <w:sz w:val="24"/>
          <w:szCs w:val="24"/>
          <w:lang w:eastAsia="zh-TW"/>
        </w:rPr>
      </w:pPr>
    </w:p>
    <w:p>
      <w:pPr>
        <w:tabs>
          <w:tab w:val="left" w:pos="1080"/>
        </w:tabs>
        <w:spacing w:line="520" w:lineRule="exact"/>
        <w:rPr>
          <w:rFonts w:ascii="宋体" w:hAnsi="宋体" w:cs="宋体"/>
          <w:sz w:val="24"/>
          <w:szCs w:val="24"/>
        </w:rPr>
      </w:pPr>
      <w:r>
        <w:rPr>
          <w:rFonts w:hint="eastAsia" w:ascii="宋体" w:hAnsi="宋体" w:cs="宋体"/>
          <w:bCs/>
          <w:sz w:val="24"/>
          <w:szCs w:val="24"/>
        </w:rPr>
        <w:t>甲方：</w:t>
      </w:r>
      <w:r>
        <w:rPr>
          <w:rFonts w:hint="eastAsia" w:ascii="宋体" w:hAnsi="宋体" w:cs="宋体"/>
          <w:sz w:val="24"/>
          <w:szCs w:val="24"/>
        </w:rPr>
        <w:t xml:space="preserve">（公章）                    </w:t>
      </w:r>
      <w:r>
        <w:rPr>
          <w:rFonts w:ascii="宋体" w:hAnsi="宋体" w:cs="宋体"/>
          <w:sz w:val="24"/>
          <w:szCs w:val="24"/>
        </w:rPr>
        <w:t xml:space="preserve"> </w:t>
      </w:r>
      <w:r>
        <w:rPr>
          <w:rFonts w:hint="eastAsia" w:ascii="宋体" w:hAnsi="宋体" w:cs="宋体"/>
          <w:sz w:val="24"/>
          <w:szCs w:val="24"/>
        </w:rPr>
        <w:t xml:space="preserve">  </w:t>
      </w:r>
      <w:r>
        <w:rPr>
          <w:rFonts w:hint="eastAsia" w:ascii="宋体" w:hAnsi="宋体" w:cs="宋体"/>
          <w:bCs/>
          <w:sz w:val="24"/>
          <w:szCs w:val="24"/>
        </w:rPr>
        <w:t>乙方：</w:t>
      </w:r>
      <w:r>
        <w:rPr>
          <w:rFonts w:hint="eastAsia" w:ascii="宋体" w:hAnsi="宋体" w:cs="宋体"/>
          <w:sz w:val="24"/>
          <w:szCs w:val="24"/>
        </w:rPr>
        <w:t xml:space="preserve">（公章） </w:t>
      </w:r>
      <w:r>
        <w:rPr>
          <w:rFonts w:hint="eastAsia" w:ascii="宋体" w:hAnsi="宋体" w:cs="宋体"/>
          <w:bCs/>
          <w:sz w:val="24"/>
          <w:szCs w:val="24"/>
        </w:rPr>
        <w:t xml:space="preserve">                      </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                        法定代表人：</w:t>
      </w:r>
    </w:p>
    <w:p>
      <w:pPr>
        <w:tabs>
          <w:tab w:val="left" w:pos="1080"/>
        </w:tabs>
        <w:spacing w:line="520" w:lineRule="exact"/>
        <w:rPr>
          <w:rFonts w:ascii="宋体" w:hAnsi="宋体" w:cs="宋体"/>
          <w:sz w:val="24"/>
          <w:szCs w:val="24"/>
        </w:rPr>
      </w:pPr>
      <w:r>
        <w:rPr>
          <w:rFonts w:hint="eastAsia" w:ascii="宋体" w:hAnsi="宋体" w:cs="宋体"/>
          <w:sz w:val="24"/>
          <w:szCs w:val="24"/>
        </w:rPr>
        <w:t>或委托代理人：                      或委托代理人：</w:t>
      </w:r>
    </w:p>
    <w:p>
      <w:pPr>
        <w:tabs>
          <w:tab w:val="left" w:pos="1080"/>
        </w:tabs>
        <w:spacing w:line="520" w:lineRule="exact"/>
        <w:rPr>
          <w:rFonts w:ascii="宋体" w:hAnsi="宋体" w:cs="宋体"/>
          <w:sz w:val="24"/>
          <w:szCs w:val="24"/>
        </w:rPr>
      </w:pPr>
      <w:r>
        <w:rPr>
          <w:rFonts w:hint="eastAsia" w:ascii="宋体" w:hAnsi="宋体" w:cs="宋体"/>
          <w:sz w:val="24"/>
          <w:szCs w:val="24"/>
        </w:rPr>
        <w:t>电话：</w:t>
      </w:r>
      <w:r>
        <w:rPr>
          <w:rFonts w:ascii="宋体" w:hAnsi="宋体" w:cs="宋体"/>
          <w:sz w:val="24"/>
          <w:szCs w:val="24"/>
        </w:rPr>
        <w:t xml:space="preserve">             </w:t>
      </w:r>
      <w:r>
        <w:rPr>
          <w:rFonts w:hint="eastAsia" w:ascii="宋体" w:hAnsi="宋体" w:cs="宋体"/>
          <w:sz w:val="24"/>
          <w:szCs w:val="24"/>
        </w:rPr>
        <w:t xml:space="preserve">                 电话： </w:t>
      </w:r>
    </w:p>
    <w:p>
      <w:pPr>
        <w:tabs>
          <w:tab w:val="left" w:pos="1080"/>
        </w:tabs>
        <w:spacing w:line="520" w:lineRule="exact"/>
        <w:rPr>
          <w:rFonts w:ascii="宋体" w:hAnsi="宋体" w:cs="宋体"/>
          <w:sz w:val="24"/>
          <w:szCs w:val="24"/>
        </w:rPr>
      </w:pPr>
      <w:r>
        <w:rPr>
          <w:rFonts w:hint="eastAsia" w:ascii="宋体" w:hAnsi="宋体" w:cs="宋体"/>
          <w:sz w:val="24"/>
          <w:szCs w:val="24"/>
        </w:rPr>
        <w:t>传真：</w:t>
      </w:r>
      <w:r>
        <w:rPr>
          <w:rFonts w:ascii="宋体" w:hAnsi="宋体" w:cs="宋体"/>
          <w:sz w:val="24"/>
          <w:szCs w:val="24"/>
        </w:rPr>
        <w:t xml:space="preserve">             </w:t>
      </w:r>
      <w:r>
        <w:rPr>
          <w:rFonts w:hint="eastAsia" w:ascii="宋体" w:hAnsi="宋体" w:cs="宋体"/>
          <w:sz w:val="24"/>
          <w:szCs w:val="24"/>
        </w:rPr>
        <w:t xml:space="preserve">                 传真：     </w:t>
      </w:r>
    </w:p>
    <w:p>
      <w:pPr>
        <w:tabs>
          <w:tab w:val="left" w:pos="1080"/>
        </w:tabs>
        <w:spacing w:line="520" w:lineRule="exact"/>
        <w:rPr>
          <w:rFonts w:ascii="宋体" w:hAnsi="宋体" w:cs="宋体"/>
          <w:sz w:val="24"/>
          <w:szCs w:val="24"/>
        </w:rPr>
      </w:pPr>
      <w:r>
        <w:rPr>
          <w:rFonts w:hint="eastAsia" w:ascii="宋体" w:hAnsi="宋体" w:cs="宋体"/>
          <w:sz w:val="24"/>
          <w:szCs w:val="24"/>
        </w:rPr>
        <w:t>签订日期   年   月   日             签</w:t>
      </w:r>
      <w:bookmarkStart w:id="0" w:name="_Hlk87892526"/>
      <w:r>
        <w:rPr>
          <w:rFonts w:hint="eastAsia" w:ascii="宋体" w:hAnsi="宋体" w:cs="宋体"/>
          <w:sz w:val="24"/>
          <w:szCs w:val="24"/>
        </w:rPr>
        <w:t>订</w:t>
      </w:r>
      <w:bookmarkEnd w:id="0"/>
      <w:r>
        <w:rPr>
          <w:rFonts w:hint="eastAsia" w:ascii="宋体" w:hAnsi="宋体" w:cs="宋体"/>
          <w:sz w:val="24"/>
          <w:szCs w:val="24"/>
        </w:rPr>
        <w:t>日期    年    月    日</w:t>
      </w:r>
    </w:p>
    <w:p>
      <w:pPr>
        <w:spacing w:line="360" w:lineRule="exact"/>
        <w:rPr>
          <w:rFonts w:ascii="仿宋" w:hAnsi="仿宋" w:eastAsia="仿宋" w:cs="Arial"/>
          <w:sz w:val="28"/>
          <w:szCs w:val="28"/>
        </w:rPr>
      </w:pPr>
    </w:p>
    <w:p>
      <w:pPr>
        <w:spacing w:line="360" w:lineRule="exact"/>
        <w:rPr>
          <w:b/>
          <w:sz w:val="24"/>
          <w:szCs w:val="24"/>
        </w:rPr>
      </w:pPr>
      <w:r>
        <w:rPr>
          <w:rFonts w:hint="eastAsia" w:ascii="仿宋" w:hAnsi="仿宋" w:eastAsia="仿宋" w:cs="Arial"/>
          <w:sz w:val="28"/>
          <w:szCs w:val="28"/>
        </w:rPr>
        <w:t>附件1：</w:t>
      </w:r>
      <w:r>
        <w:rPr>
          <w:rFonts w:hint="eastAsia" w:ascii="仿宋" w:hAnsi="仿宋" w:eastAsia="仿宋" w:cs="Arial"/>
          <w:b/>
          <w:bCs/>
          <w:sz w:val="28"/>
          <w:szCs w:val="28"/>
        </w:rPr>
        <w:t>乙方的营业执照及资质</w:t>
      </w:r>
    </w:p>
    <w:p>
      <w:pPr>
        <w:spacing w:line="360" w:lineRule="exact"/>
        <w:rPr>
          <w:b/>
          <w:sz w:val="24"/>
          <w:szCs w:val="24"/>
        </w:rPr>
      </w:pPr>
      <w:r>
        <w:rPr>
          <w:rFonts w:hint="eastAsia" w:ascii="仿宋" w:hAnsi="仿宋" w:eastAsia="仿宋" w:cs="Arial"/>
          <w:sz w:val="28"/>
          <w:szCs w:val="28"/>
        </w:rPr>
        <w:t xml:space="preserve">附件2： </w:t>
      </w:r>
      <w:r>
        <w:rPr>
          <w:rFonts w:hint="eastAsia"/>
          <w:b/>
          <w:sz w:val="24"/>
          <w:szCs w:val="24"/>
        </w:rPr>
        <w:t xml:space="preserve">            </w:t>
      </w:r>
    </w:p>
    <w:p>
      <w:pPr>
        <w:spacing w:after="160" w:afterLines="50"/>
        <w:jc w:val="center"/>
      </w:pPr>
      <w:r>
        <w:rPr>
          <w:rFonts w:hint="eastAsia"/>
          <w:b/>
          <w:sz w:val="24"/>
          <w:szCs w:val="24"/>
        </w:rPr>
        <w:t>保安服务考核标准</w:t>
      </w:r>
    </w:p>
    <w:tbl>
      <w:tblPr>
        <w:tblStyle w:val="14"/>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5068"/>
        <w:gridCol w:w="1764"/>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230" w:type="dxa"/>
            <w:gridSpan w:val="2"/>
          </w:tcPr>
          <w:p>
            <w:pPr>
              <w:jc w:val="center"/>
              <w:rPr>
                <w:rFonts w:ascii="宋体" w:hAnsi="宋体"/>
                <w:b/>
                <w:sz w:val="24"/>
                <w:szCs w:val="24"/>
              </w:rPr>
            </w:pPr>
            <w:r>
              <w:rPr>
                <w:rFonts w:hint="eastAsia" w:ascii="宋体" w:hAnsi="宋体"/>
                <w:b/>
                <w:sz w:val="24"/>
                <w:szCs w:val="24"/>
              </w:rPr>
              <w:t>考核内容</w:t>
            </w:r>
          </w:p>
        </w:tc>
        <w:tc>
          <w:tcPr>
            <w:tcW w:w="1764" w:type="dxa"/>
          </w:tcPr>
          <w:p>
            <w:pPr>
              <w:jc w:val="center"/>
              <w:rPr>
                <w:rFonts w:ascii="宋体" w:hAnsi="宋体"/>
                <w:b/>
                <w:sz w:val="24"/>
                <w:szCs w:val="24"/>
              </w:rPr>
            </w:pPr>
            <w:r>
              <w:rPr>
                <w:rFonts w:hint="eastAsia" w:ascii="宋体" w:hAnsi="宋体"/>
                <w:b/>
                <w:sz w:val="24"/>
                <w:szCs w:val="24"/>
              </w:rPr>
              <w:t>处罚标准</w:t>
            </w:r>
          </w:p>
        </w:tc>
        <w:tc>
          <w:tcPr>
            <w:tcW w:w="885" w:type="dxa"/>
          </w:tcPr>
          <w:p>
            <w:pPr>
              <w:jc w:val="center"/>
              <w:rPr>
                <w:rFonts w:ascii="宋体" w:hAnsi="宋体"/>
                <w:b/>
                <w:sz w:val="24"/>
                <w:szCs w:val="24"/>
              </w:rPr>
            </w:pPr>
            <w:r>
              <w:rPr>
                <w:rFonts w:hint="eastAsia" w:ascii="宋体" w:hAnsi="宋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162" w:type="dxa"/>
            <w:vAlign w:val="center"/>
          </w:tcPr>
          <w:p>
            <w:pPr>
              <w:jc w:val="center"/>
              <w:rPr>
                <w:rFonts w:ascii="宋体" w:hAnsi="宋体"/>
                <w:sz w:val="18"/>
                <w:szCs w:val="18"/>
              </w:rPr>
            </w:pPr>
            <w:r>
              <w:rPr>
                <w:rFonts w:hint="eastAsia" w:ascii="宋体" w:hAnsi="宋体"/>
                <w:sz w:val="18"/>
                <w:szCs w:val="18"/>
              </w:rPr>
              <w:t>礼仪礼貌</w:t>
            </w:r>
          </w:p>
        </w:tc>
        <w:tc>
          <w:tcPr>
            <w:tcW w:w="5068" w:type="dxa"/>
            <w:vAlign w:val="center"/>
          </w:tcPr>
          <w:p>
            <w:pPr>
              <w:rPr>
                <w:rFonts w:ascii="宋体" w:hAnsi="宋体"/>
                <w:sz w:val="18"/>
                <w:szCs w:val="18"/>
              </w:rPr>
            </w:pPr>
            <w:r>
              <w:rPr>
                <w:rFonts w:hint="eastAsia" w:ascii="宋体" w:hAnsi="宋体"/>
                <w:sz w:val="18"/>
                <w:szCs w:val="18"/>
              </w:rPr>
              <w:t>上班期间使用文明用语 ；不得与客户发生言语或肢体冲突</w:t>
            </w:r>
          </w:p>
        </w:tc>
        <w:tc>
          <w:tcPr>
            <w:tcW w:w="1764" w:type="dxa"/>
            <w:vAlign w:val="center"/>
          </w:tcPr>
          <w:p>
            <w:pPr>
              <w:jc w:val="center"/>
              <w:rPr>
                <w:rFonts w:ascii="宋体" w:hAnsi="宋体"/>
                <w:sz w:val="18"/>
                <w:szCs w:val="18"/>
              </w:rPr>
            </w:pPr>
            <w:r>
              <w:rPr>
                <w:rFonts w:hint="eastAsia" w:ascii="宋体" w:hAnsi="宋体"/>
                <w:sz w:val="18"/>
                <w:szCs w:val="18"/>
              </w:rPr>
              <w:t>每违反一例扣20元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rPr>
              <w:t>门口执勤</w:t>
            </w:r>
          </w:p>
        </w:tc>
        <w:tc>
          <w:tcPr>
            <w:tcW w:w="5068" w:type="dxa"/>
            <w:vAlign w:val="center"/>
          </w:tcPr>
          <w:p>
            <w:pPr>
              <w:rPr>
                <w:rFonts w:ascii="宋体" w:hAnsi="宋体"/>
                <w:sz w:val="18"/>
                <w:szCs w:val="18"/>
              </w:rPr>
            </w:pPr>
            <w:r>
              <w:rPr>
                <w:rFonts w:hint="eastAsia" w:ascii="宋体" w:hAnsi="宋体"/>
                <w:sz w:val="18"/>
                <w:szCs w:val="18"/>
              </w:rPr>
              <w:t>按照孔雀湾混凝土公司要求执行，不得无故随意放行车辆</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vAlign w:val="center"/>
          </w:tcPr>
          <w:p>
            <w:pPr>
              <w:jc w:val="center"/>
              <w:rPr>
                <w:rFonts w:ascii="宋体" w:hAnsi="宋体"/>
                <w:sz w:val="18"/>
                <w:szCs w:val="18"/>
              </w:rPr>
            </w:pPr>
          </w:p>
        </w:tc>
        <w:tc>
          <w:tcPr>
            <w:tcW w:w="5068" w:type="dxa"/>
            <w:vAlign w:val="center"/>
          </w:tcPr>
          <w:p>
            <w:pPr>
              <w:rPr>
                <w:rFonts w:ascii="宋体" w:hAnsi="宋体"/>
                <w:sz w:val="18"/>
                <w:szCs w:val="18"/>
              </w:rPr>
            </w:pPr>
            <w:r>
              <w:rPr>
                <w:rFonts w:hint="eastAsia" w:ascii="宋体" w:hAnsi="宋体"/>
                <w:sz w:val="18"/>
                <w:szCs w:val="18"/>
              </w:rPr>
              <w:t>禁止无关人员进入（小贩、推销）</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rPr>
              <w:t>监控室值班</w:t>
            </w:r>
          </w:p>
        </w:tc>
        <w:tc>
          <w:tcPr>
            <w:tcW w:w="5068" w:type="dxa"/>
            <w:vAlign w:val="center"/>
          </w:tcPr>
          <w:p>
            <w:pPr>
              <w:rPr>
                <w:rFonts w:ascii="宋体" w:hAnsi="宋体"/>
                <w:sz w:val="18"/>
                <w:szCs w:val="18"/>
              </w:rPr>
            </w:pPr>
            <w:r>
              <w:rPr>
                <w:rFonts w:hint="eastAsia" w:ascii="宋体" w:hAnsi="宋体"/>
                <w:sz w:val="18"/>
                <w:szCs w:val="18"/>
              </w:rPr>
              <w:t>保证监控室24小时有人值守，值班人员会基本操作</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rPr>
            </w:pPr>
          </w:p>
        </w:tc>
        <w:tc>
          <w:tcPr>
            <w:tcW w:w="5068" w:type="dxa"/>
            <w:vAlign w:val="center"/>
          </w:tcPr>
          <w:p>
            <w:pPr>
              <w:rPr>
                <w:rFonts w:ascii="宋体" w:hAnsi="宋体"/>
                <w:sz w:val="18"/>
                <w:szCs w:val="18"/>
              </w:rPr>
            </w:pPr>
            <w:r>
              <w:rPr>
                <w:rFonts w:hint="eastAsia" w:ascii="宋体" w:hAnsi="宋体"/>
                <w:sz w:val="18"/>
                <w:szCs w:val="18"/>
              </w:rPr>
              <w:t>对出现的应急情况及时予以处理协调汇报 </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rPr>
            </w:pPr>
            <w:r>
              <w:rPr>
                <w:rFonts w:hint="eastAsia" w:ascii="宋体" w:hAnsi="宋体"/>
                <w:sz w:val="18"/>
                <w:szCs w:val="18"/>
              </w:rPr>
              <w:t>车辆管理</w:t>
            </w:r>
          </w:p>
        </w:tc>
        <w:tc>
          <w:tcPr>
            <w:tcW w:w="5068" w:type="dxa"/>
            <w:vAlign w:val="center"/>
          </w:tcPr>
          <w:p>
            <w:pPr>
              <w:rPr>
                <w:rFonts w:ascii="宋体" w:hAnsi="宋体"/>
                <w:sz w:val="18"/>
                <w:szCs w:val="18"/>
              </w:rPr>
            </w:pPr>
            <w:r>
              <w:rPr>
                <w:rFonts w:hint="eastAsia" w:ascii="宋体" w:hAnsi="宋体"/>
                <w:sz w:val="18"/>
                <w:szCs w:val="18"/>
              </w:rPr>
              <w:t>加强车位管理，通道禁止停车</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rPr>
            </w:pPr>
            <w:r>
              <w:rPr>
                <w:rFonts w:hint="eastAsia" w:ascii="宋体" w:hAnsi="宋体"/>
                <w:sz w:val="18"/>
                <w:szCs w:val="18"/>
              </w:rPr>
              <w:t>交接班</w:t>
            </w:r>
          </w:p>
        </w:tc>
        <w:tc>
          <w:tcPr>
            <w:tcW w:w="5068" w:type="dxa"/>
            <w:vAlign w:val="center"/>
          </w:tcPr>
          <w:p>
            <w:pPr>
              <w:rPr>
                <w:rFonts w:ascii="宋体" w:hAnsi="宋体"/>
                <w:sz w:val="18"/>
                <w:szCs w:val="18"/>
              </w:rPr>
            </w:pPr>
            <w:r>
              <w:rPr>
                <w:rFonts w:hint="eastAsia" w:ascii="宋体" w:hAnsi="宋体"/>
                <w:sz w:val="18"/>
                <w:szCs w:val="18"/>
              </w:rPr>
              <w:t>交接班时应交接物品清晰</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shd w:val="clear" w:color="auto" w:fill="FFFFFF"/>
              </w:rPr>
              <w:t>工作纪律</w:t>
            </w:r>
          </w:p>
        </w:tc>
        <w:tc>
          <w:tcPr>
            <w:tcW w:w="5068" w:type="dxa"/>
            <w:vAlign w:val="center"/>
          </w:tcPr>
          <w:p>
            <w:pPr>
              <w:rPr>
                <w:rFonts w:ascii="宋体" w:hAnsi="宋体"/>
                <w:sz w:val="18"/>
                <w:szCs w:val="18"/>
              </w:rPr>
            </w:pPr>
            <w:r>
              <w:rPr>
                <w:rFonts w:hint="eastAsia" w:ascii="宋体" w:hAnsi="宋体"/>
                <w:sz w:val="18"/>
                <w:szCs w:val="18"/>
              </w:rPr>
              <w:t>严禁睡岗、脱岗、严禁带酒气上班或班上饮酒</w:t>
            </w:r>
          </w:p>
        </w:tc>
        <w:tc>
          <w:tcPr>
            <w:tcW w:w="1764" w:type="dxa"/>
            <w:vAlign w:val="center"/>
          </w:tcPr>
          <w:p>
            <w:pPr>
              <w:jc w:val="center"/>
              <w:rPr>
                <w:rFonts w:ascii="宋体" w:hAnsi="宋体"/>
                <w:sz w:val="18"/>
                <w:szCs w:val="18"/>
              </w:rPr>
            </w:pPr>
            <w:r>
              <w:rPr>
                <w:rFonts w:hint="eastAsia" w:ascii="宋体" w:hAnsi="宋体"/>
                <w:sz w:val="18"/>
                <w:szCs w:val="18"/>
              </w:rPr>
              <w:t>每违反一例扣50元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禁止当班期间看书、玩手机、躺卧等</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禁止向客户索要任何形式的礼物和小费</w:t>
            </w:r>
          </w:p>
        </w:tc>
        <w:tc>
          <w:tcPr>
            <w:tcW w:w="1764" w:type="dxa"/>
            <w:vAlign w:val="center"/>
          </w:tcPr>
          <w:p>
            <w:pPr>
              <w:jc w:val="center"/>
              <w:rPr>
                <w:rFonts w:ascii="宋体" w:hAnsi="宋体"/>
                <w:sz w:val="18"/>
                <w:szCs w:val="18"/>
              </w:rPr>
            </w:pPr>
            <w:r>
              <w:rPr>
                <w:rFonts w:hint="eastAsia" w:ascii="宋体" w:hAnsi="宋体"/>
                <w:sz w:val="18"/>
                <w:szCs w:val="18"/>
              </w:rPr>
              <w:t>每违反一例扣50元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客户需要帮助时，不能主动、迅速为客户解决困难，相互推诿</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工作记录及培训工作</w:t>
            </w:r>
          </w:p>
        </w:tc>
        <w:tc>
          <w:tcPr>
            <w:tcW w:w="5068" w:type="dxa"/>
            <w:vAlign w:val="center"/>
          </w:tcPr>
          <w:p>
            <w:pPr>
              <w:rPr>
                <w:rFonts w:ascii="宋体" w:hAnsi="宋体"/>
                <w:sz w:val="18"/>
                <w:szCs w:val="18"/>
              </w:rPr>
            </w:pPr>
            <w:r>
              <w:rPr>
                <w:rFonts w:hint="eastAsia" w:ascii="宋体" w:hAnsi="宋体"/>
                <w:sz w:val="18"/>
                <w:szCs w:val="18"/>
              </w:rPr>
              <w:t>工作记录填写准确，按照巡逻要求的时间填写表格</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按照规定每周进行培训，有相关会议纪要，不按规定参加培训的视为旷工</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其它</w:t>
            </w:r>
          </w:p>
        </w:tc>
        <w:tc>
          <w:tcPr>
            <w:tcW w:w="5068" w:type="dxa"/>
            <w:vAlign w:val="center"/>
          </w:tcPr>
          <w:p>
            <w:pPr>
              <w:rPr>
                <w:rFonts w:ascii="宋体" w:hAnsi="宋体"/>
                <w:sz w:val="18"/>
                <w:szCs w:val="18"/>
              </w:rPr>
            </w:pPr>
            <w:r>
              <w:rPr>
                <w:rFonts w:hint="eastAsia" w:ascii="宋体" w:hAnsi="宋体"/>
                <w:sz w:val="18"/>
                <w:szCs w:val="18"/>
              </w:rPr>
              <w:t>熟练掌握监控设施、消防、保安等器械的使用方法，爱护公共财物 </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1162" w:type="dxa"/>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奖励</w:t>
            </w:r>
          </w:p>
        </w:tc>
        <w:tc>
          <w:tcPr>
            <w:tcW w:w="5068" w:type="dxa"/>
            <w:vAlign w:val="center"/>
          </w:tcPr>
          <w:p>
            <w:pPr>
              <w:rPr>
                <w:rFonts w:ascii="宋体" w:hAnsi="宋体"/>
                <w:sz w:val="18"/>
                <w:szCs w:val="18"/>
              </w:rPr>
            </w:pPr>
            <w:r>
              <w:rPr>
                <w:rFonts w:hint="eastAsia" w:ascii="宋体" w:hAnsi="宋体"/>
                <w:sz w:val="18"/>
                <w:szCs w:val="18"/>
              </w:rPr>
              <w:t>为业主提供优质服务得到表扬的 ；</w:t>
            </w:r>
          </w:p>
          <w:p>
            <w:pPr>
              <w:rPr>
                <w:rFonts w:ascii="宋体" w:hAnsi="宋体"/>
                <w:sz w:val="18"/>
                <w:szCs w:val="18"/>
              </w:rPr>
            </w:pPr>
            <w:r>
              <w:rPr>
                <w:rFonts w:hint="eastAsia" w:ascii="宋体" w:hAnsi="宋体"/>
                <w:sz w:val="18"/>
                <w:szCs w:val="18"/>
              </w:rPr>
              <w:t>拾金不昧，主动将捡拾的物品上交物业服务中心的 ；</w:t>
            </w:r>
          </w:p>
          <w:p>
            <w:pPr>
              <w:rPr>
                <w:rFonts w:ascii="宋体" w:hAnsi="宋体"/>
                <w:sz w:val="18"/>
                <w:szCs w:val="18"/>
              </w:rPr>
            </w:pPr>
            <w:r>
              <w:rPr>
                <w:rFonts w:hint="eastAsia" w:ascii="宋体" w:hAnsi="宋体"/>
                <w:sz w:val="18"/>
                <w:szCs w:val="18"/>
              </w:rPr>
              <w:t>制止和防止恶性事件发生，保护公司和业主利益的 ；</w:t>
            </w:r>
          </w:p>
          <w:p>
            <w:pPr>
              <w:rPr>
                <w:rFonts w:ascii="宋体" w:hAnsi="宋体"/>
                <w:sz w:val="18"/>
                <w:szCs w:val="18"/>
              </w:rPr>
            </w:pPr>
            <w:r>
              <w:rPr>
                <w:rFonts w:hint="eastAsia" w:ascii="宋体" w:hAnsi="宋体"/>
                <w:sz w:val="18"/>
                <w:szCs w:val="18"/>
              </w:rPr>
              <w:t>及时发现安全隐患、管理漏洞、水电跑冒滴漏给公司减少损失的； </w:t>
            </w:r>
          </w:p>
          <w:p>
            <w:pPr>
              <w:rPr>
                <w:rFonts w:ascii="宋体" w:hAnsi="宋体"/>
                <w:sz w:val="18"/>
                <w:szCs w:val="18"/>
              </w:rPr>
            </w:pPr>
            <w:r>
              <w:rPr>
                <w:rFonts w:hint="eastAsia" w:ascii="宋体" w:hAnsi="宋体"/>
                <w:sz w:val="18"/>
                <w:szCs w:val="18"/>
              </w:rPr>
              <w:t>受到各级机关奖励、表彰者</w:t>
            </w:r>
          </w:p>
        </w:tc>
        <w:tc>
          <w:tcPr>
            <w:tcW w:w="1764" w:type="dxa"/>
            <w:vAlign w:val="center"/>
          </w:tcPr>
          <w:p>
            <w:pPr>
              <w:jc w:val="center"/>
              <w:rPr>
                <w:rFonts w:ascii="宋体" w:hAnsi="宋体"/>
                <w:sz w:val="18"/>
                <w:szCs w:val="18"/>
              </w:rPr>
            </w:pPr>
            <w:r>
              <w:rPr>
                <w:rFonts w:hint="eastAsia" w:ascii="宋体" w:hAnsi="宋体"/>
                <w:sz w:val="18"/>
                <w:szCs w:val="18"/>
              </w:rPr>
              <w:t>根据受表彰</w:t>
            </w:r>
          </w:p>
          <w:p>
            <w:pPr>
              <w:jc w:val="center"/>
              <w:rPr>
                <w:rFonts w:ascii="宋体" w:hAnsi="宋体"/>
                <w:sz w:val="18"/>
                <w:szCs w:val="18"/>
              </w:rPr>
            </w:pPr>
            <w:r>
              <w:rPr>
                <w:rFonts w:hint="eastAsia" w:ascii="宋体" w:hAnsi="宋体"/>
                <w:sz w:val="18"/>
                <w:szCs w:val="18"/>
              </w:rPr>
              <w:t>情况奖励</w:t>
            </w:r>
          </w:p>
          <w:p>
            <w:pPr>
              <w:jc w:val="center"/>
              <w:rPr>
                <w:rFonts w:ascii="宋体" w:hAnsi="宋体"/>
                <w:sz w:val="18"/>
                <w:szCs w:val="18"/>
              </w:rPr>
            </w:pPr>
            <w:r>
              <w:rPr>
                <w:rFonts w:hint="eastAsia" w:ascii="宋体" w:hAnsi="宋体"/>
                <w:sz w:val="18"/>
                <w:szCs w:val="18"/>
              </w:rPr>
              <w:t>50—1000元</w:t>
            </w:r>
          </w:p>
        </w:tc>
        <w:tc>
          <w:tcPr>
            <w:tcW w:w="885" w:type="dxa"/>
            <w:vAlign w:val="center"/>
          </w:tcPr>
          <w:p>
            <w:pPr>
              <w:jc w:val="center"/>
              <w:rPr>
                <w:rFonts w:ascii="宋体" w:hAnsi="宋体"/>
                <w:sz w:val="28"/>
                <w:szCs w:val="28"/>
              </w:rPr>
            </w:pPr>
          </w:p>
        </w:tc>
      </w:tr>
    </w:tbl>
    <w:p>
      <w:pPr>
        <w:spacing w:line="560" w:lineRule="exact"/>
        <w:rPr>
          <w:rFonts w:asciiTheme="minorEastAsia" w:hAnsiTheme="minorEastAsia" w:cstheme="minorEastAsia"/>
          <w:sz w:val="32"/>
          <w:szCs w:val="32"/>
        </w:rPr>
      </w:pPr>
    </w:p>
    <w:sectPr>
      <w:headerReference r:id="rId3" w:type="default"/>
      <w:footerReference r:id="rId4" w:type="default"/>
      <w:pgSz w:w="11906" w:h="16838"/>
      <w:pgMar w:top="1928" w:right="1474" w:bottom="153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1631A9"/>
    <w:rsid w:val="001631A9"/>
    <w:rsid w:val="005724FE"/>
    <w:rsid w:val="005D3272"/>
    <w:rsid w:val="006D112F"/>
    <w:rsid w:val="006D70D9"/>
    <w:rsid w:val="00894EB0"/>
    <w:rsid w:val="009F550F"/>
    <w:rsid w:val="00AA2204"/>
    <w:rsid w:val="00F44874"/>
    <w:rsid w:val="01174BB9"/>
    <w:rsid w:val="012F41F1"/>
    <w:rsid w:val="01C40E32"/>
    <w:rsid w:val="01FE1090"/>
    <w:rsid w:val="022416DD"/>
    <w:rsid w:val="03541B11"/>
    <w:rsid w:val="04454CA5"/>
    <w:rsid w:val="04994A58"/>
    <w:rsid w:val="04AE67D3"/>
    <w:rsid w:val="05966D0B"/>
    <w:rsid w:val="06617B9C"/>
    <w:rsid w:val="0663462A"/>
    <w:rsid w:val="085E259B"/>
    <w:rsid w:val="089B200F"/>
    <w:rsid w:val="08E73269"/>
    <w:rsid w:val="095062E8"/>
    <w:rsid w:val="097850AB"/>
    <w:rsid w:val="0A104508"/>
    <w:rsid w:val="0AC27F6F"/>
    <w:rsid w:val="0BE22DB5"/>
    <w:rsid w:val="0BE713B9"/>
    <w:rsid w:val="0C54503E"/>
    <w:rsid w:val="0C74384C"/>
    <w:rsid w:val="0C78463A"/>
    <w:rsid w:val="0D3C05E6"/>
    <w:rsid w:val="0E752D97"/>
    <w:rsid w:val="0EB16B23"/>
    <w:rsid w:val="0F0F2FF0"/>
    <w:rsid w:val="10BC46FD"/>
    <w:rsid w:val="10C06C14"/>
    <w:rsid w:val="10F845FF"/>
    <w:rsid w:val="111C0D40"/>
    <w:rsid w:val="1250635C"/>
    <w:rsid w:val="152754B3"/>
    <w:rsid w:val="156856B4"/>
    <w:rsid w:val="175207E1"/>
    <w:rsid w:val="176A156D"/>
    <w:rsid w:val="17AF6D64"/>
    <w:rsid w:val="17ED2E67"/>
    <w:rsid w:val="1989121E"/>
    <w:rsid w:val="19CC7067"/>
    <w:rsid w:val="1A6E128B"/>
    <w:rsid w:val="1A965703"/>
    <w:rsid w:val="1AF75E28"/>
    <w:rsid w:val="1B12534E"/>
    <w:rsid w:val="1C5429D7"/>
    <w:rsid w:val="1D887DB3"/>
    <w:rsid w:val="1DE85EAB"/>
    <w:rsid w:val="20647817"/>
    <w:rsid w:val="20D44015"/>
    <w:rsid w:val="23B5705C"/>
    <w:rsid w:val="23C92560"/>
    <w:rsid w:val="24527160"/>
    <w:rsid w:val="24863CE7"/>
    <w:rsid w:val="24AB3B72"/>
    <w:rsid w:val="24AC0C5F"/>
    <w:rsid w:val="24D920D1"/>
    <w:rsid w:val="25E83B22"/>
    <w:rsid w:val="26191543"/>
    <w:rsid w:val="27133BA6"/>
    <w:rsid w:val="275814FC"/>
    <w:rsid w:val="2772074B"/>
    <w:rsid w:val="28CF0F13"/>
    <w:rsid w:val="2B3B4198"/>
    <w:rsid w:val="2B9040DF"/>
    <w:rsid w:val="2BC333E8"/>
    <w:rsid w:val="2C050E25"/>
    <w:rsid w:val="2D0058F7"/>
    <w:rsid w:val="2D535575"/>
    <w:rsid w:val="2EE751C9"/>
    <w:rsid w:val="2F8001EC"/>
    <w:rsid w:val="2FB665E3"/>
    <w:rsid w:val="2FC77F6E"/>
    <w:rsid w:val="2FD17D37"/>
    <w:rsid w:val="301C4A57"/>
    <w:rsid w:val="303212ED"/>
    <w:rsid w:val="305865C4"/>
    <w:rsid w:val="32BB29B0"/>
    <w:rsid w:val="33355C12"/>
    <w:rsid w:val="3336205B"/>
    <w:rsid w:val="337241D7"/>
    <w:rsid w:val="34302D75"/>
    <w:rsid w:val="35124ACF"/>
    <w:rsid w:val="3589092A"/>
    <w:rsid w:val="38D444A0"/>
    <w:rsid w:val="392605C5"/>
    <w:rsid w:val="394F3B09"/>
    <w:rsid w:val="39E6508D"/>
    <w:rsid w:val="3A2700A6"/>
    <w:rsid w:val="3A390BC1"/>
    <w:rsid w:val="3B2D47A9"/>
    <w:rsid w:val="3B4275E9"/>
    <w:rsid w:val="3BAB7BC4"/>
    <w:rsid w:val="3DCF66DC"/>
    <w:rsid w:val="3EC60FE9"/>
    <w:rsid w:val="3FAE4650"/>
    <w:rsid w:val="3FD41A7D"/>
    <w:rsid w:val="404F26AF"/>
    <w:rsid w:val="41F26D69"/>
    <w:rsid w:val="423168E5"/>
    <w:rsid w:val="42A50DC3"/>
    <w:rsid w:val="42DA197E"/>
    <w:rsid w:val="434F0B25"/>
    <w:rsid w:val="43741014"/>
    <w:rsid w:val="44802897"/>
    <w:rsid w:val="452F7387"/>
    <w:rsid w:val="464E4863"/>
    <w:rsid w:val="46613A62"/>
    <w:rsid w:val="46B44B58"/>
    <w:rsid w:val="46F17B0E"/>
    <w:rsid w:val="47003F31"/>
    <w:rsid w:val="471C5C4A"/>
    <w:rsid w:val="478449B9"/>
    <w:rsid w:val="47A77618"/>
    <w:rsid w:val="47B015A8"/>
    <w:rsid w:val="47B7253A"/>
    <w:rsid w:val="47EB2F2F"/>
    <w:rsid w:val="48081449"/>
    <w:rsid w:val="490C0D3F"/>
    <w:rsid w:val="49BF6D61"/>
    <w:rsid w:val="4B323153"/>
    <w:rsid w:val="4B57355E"/>
    <w:rsid w:val="4C14023C"/>
    <w:rsid w:val="4C866E6A"/>
    <w:rsid w:val="4CB913EE"/>
    <w:rsid w:val="4F5A1592"/>
    <w:rsid w:val="4F622668"/>
    <w:rsid w:val="4F9B3B1C"/>
    <w:rsid w:val="4FF92C46"/>
    <w:rsid w:val="503944F1"/>
    <w:rsid w:val="50D53F5F"/>
    <w:rsid w:val="52301DA0"/>
    <w:rsid w:val="524E2B86"/>
    <w:rsid w:val="5308418E"/>
    <w:rsid w:val="53116E11"/>
    <w:rsid w:val="537D0177"/>
    <w:rsid w:val="53B32517"/>
    <w:rsid w:val="54D166E2"/>
    <w:rsid w:val="56AE247F"/>
    <w:rsid w:val="56BC4D54"/>
    <w:rsid w:val="578940B2"/>
    <w:rsid w:val="57995193"/>
    <w:rsid w:val="590216E2"/>
    <w:rsid w:val="59705035"/>
    <w:rsid w:val="59EC7931"/>
    <w:rsid w:val="5A2D2B7B"/>
    <w:rsid w:val="5A89319F"/>
    <w:rsid w:val="5CC505CA"/>
    <w:rsid w:val="5D103F11"/>
    <w:rsid w:val="5D530547"/>
    <w:rsid w:val="5F61293D"/>
    <w:rsid w:val="5F641A9C"/>
    <w:rsid w:val="5F7C32D2"/>
    <w:rsid w:val="5FC03A9F"/>
    <w:rsid w:val="5FDA264E"/>
    <w:rsid w:val="60537C1D"/>
    <w:rsid w:val="60A07495"/>
    <w:rsid w:val="60E76E71"/>
    <w:rsid w:val="618534E9"/>
    <w:rsid w:val="61BF2D9B"/>
    <w:rsid w:val="620908A7"/>
    <w:rsid w:val="622E4B5B"/>
    <w:rsid w:val="626E4457"/>
    <w:rsid w:val="62A647D1"/>
    <w:rsid w:val="62E13962"/>
    <w:rsid w:val="62E8564C"/>
    <w:rsid w:val="63826106"/>
    <w:rsid w:val="64F1206D"/>
    <w:rsid w:val="664639AE"/>
    <w:rsid w:val="66AC1156"/>
    <w:rsid w:val="66D0730E"/>
    <w:rsid w:val="67A64370"/>
    <w:rsid w:val="67E73E3E"/>
    <w:rsid w:val="68150150"/>
    <w:rsid w:val="68955405"/>
    <w:rsid w:val="690A7BA1"/>
    <w:rsid w:val="691559EC"/>
    <w:rsid w:val="69FB0E10"/>
    <w:rsid w:val="6ABD1736"/>
    <w:rsid w:val="6B767B53"/>
    <w:rsid w:val="6C2E445E"/>
    <w:rsid w:val="6C530683"/>
    <w:rsid w:val="6C64581A"/>
    <w:rsid w:val="6CB73B7E"/>
    <w:rsid w:val="6CC02ABA"/>
    <w:rsid w:val="6D1D6AC7"/>
    <w:rsid w:val="6D2728C0"/>
    <w:rsid w:val="6EFF18CE"/>
    <w:rsid w:val="70FE40FA"/>
    <w:rsid w:val="712B3410"/>
    <w:rsid w:val="714F49EA"/>
    <w:rsid w:val="71974FAF"/>
    <w:rsid w:val="71E60A7F"/>
    <w:rsid w:val="71E873E7"/>
    <w:rsid w:val="72AF1ABC"/>
    <w:rsid w:val="72E96A79"/>
    <w:rsid w:val="7314220C"/>
    <w:rsid w:val="737C7E39"/>
    <w:rsid w:val="741713C4"/>
    <w:rsid w:val="741F0E1D"/>
    <w:rsid w:val="744F6C68"/>
    <w:rsid w:val="755723C0"/>
    <w:rsid w:val="75F745B0"/>
    <w:rsid w:val="76C00FE5"/>
    <w:rsid w:val="76C813BE"/>
    <w:rsid w:val="76F35C27"/>
    <w:rsid w:val="77E77AD3"/>
    <w:rsid w:val="780A0D14"/>
    <w:rsid w:val="788408E0"/>
    <w:rsid w:val="788F1E71"/>
    <w:rsid w:val="78BC4F2C"/>
    <w:rsid w:val="78F975D3"/>
    <w:rsid w:val="790D2A93"/>
    <w:rsid w:val="7A3641A1"/>
    <w:rsid w:val="7A6E04BD"/>
    <w:rsid w:val="7A79462F"/>
    <w:rsid w:val="7B375B35"/>
    <w:rsid w:val="7DB946A0"/>
    <w:rsid w:val="7E1117F2"/>
    <w:rsid w:val="7F286674"/>
    <w:rsid w:val="7FA1008C"/>
    <w:rsid w:val="7FCB0F44"/>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Body Text Indent"/>
    <w:basedOn w:val="1"/>
    <w:qFormat/>
    <w:uiPriority w:val="0"/>
    <w:pPr>
      <w:spacing w:line="400" w:lineRule="atLeast"/>
      <w:ind w:firstLine="624"/>
    </w:pPr>
    <w:rPr>
      <w:rFonts w:ascii="宋体"/>
      <w:color w:val="FF0000"/>
      <w:sz w:val="28"/>
    </w:rPr>
  </w:style>
  <w:style w:type="paragraph" w:styleId="6">
    <w:name w:val="Plain Text"/>
    <w:basedOn w:val="1"/>
    <w:qFormat/>
    <w:uiPriority w:val="0"/>
    <w:rPr>
      <w:rFonts w:ascii="宋体" w:hAnsi="Courier New"/>
      <w:szCs w:val="24"/>
    </w:rPr>
  </w:style>
  <w:style w:type="paragraph" w:styleId="7">
    <w:name w:val="Date"/>
    <w:basedOn w:val="1"/>
    <w:next w:val="1"/>
    <w:unhideWhenUsed/>
    <w:qFormat/>
    <w:uiPriority w:val="99"/>
    <w:pPr>
      <w:ind w:left="100" w:leftChars="2500"/>
    </w:pPr>
  </w:style>
  <w:style w:type="paragraph" w:styleId="8">
    <w:name w:val="Body Text Indent 2"/>
    <w:basedOn w:val="1"/>
    <w:unhideWhenUsed/>
    <w:qFormat/>
    <w:uiPriority w:val="99"/>
    <w:pPr>
      <w:spacing w:line="360" w:lineRule="auto"/>
      <w:ind w:left="900"/>
    </w:pPr>
    <w:rPr>
      <w:sz w:val="24"/>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unhideWhenUsed/>
    <w:qFormat/>
    <w:uiPriority w:val="99"/>
    <w:pPr>
      <w:spacing w:line="360" w:lineRule="auto"/>
      <w:ind w:firstLine="200" w:firstLineChars="200"/>
    </w:pPr>
    <w:rPr>
      <w:sz w:val="24"/>
    </w:rPr>
  </w:style>
  <w:style w:type="paragraph" w:styleId="12">
    <w:name w:val="Normal (Web)"/>
    <w:basedOn w:val="1"/>
    <w:unhideWhenUsed/>
    <w:qFormat/>
    <w:uiPriority w:val="99"/>
    <w:pPr>
      <w:widowControl/>
      <w:spacing w:before="100" w:beforeAutospacing="1" w:after="100" w:afterAutospacing="1"/>
      <w:jc w:val="left"/>
    </w:pPr>
    <w:rPr>
      <w:rFonts w:ascii="宋体" w:hAnsi="宋体"/>
      <w:kern w:val="0"/>
      <w:sz w:val="24"/>
    </w:rPr>
  </w:style>
  <w:style w:type="paragraph" w:styleId="13">
    <w:name w:val="Body Text First Indent 2"/>
    <w:basedOn w:val="5"/>
    <w:qFormat/>
    <w:uiPriority w:val="0"/>
    <w:pPr>
      <w:ind w:firstLine="42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basedOn w:val="16"/>
    <w:unhideWhenUsed/>
    <w:qFormat/>
    <w:uiPriority w:val="99"/>
    <w:rPr>
      <w:color w:val="0000FF"/>
      <w:u w:val="single"/>
    </w:rPr>
  </w:style>
  <w:style w:type="paragraph" w:customStyle="1" w:styleId="19">
    <w:name w:val="_Style 2"/>
    <w:basedOn w:val="1"/>
    <w:qFormat/>
    <w:uiPriority w:val="0"/>
    <w:pPr>
      <w:ind w:firstLine="420" w:firstLineChars="200"/>
    </w:pPr>
    <w:rPr>
      <w:rFonts w:ascii="Calibri" w:hAnsi="Calibri"/>
    </w:rPr>
  </w:style>
  <w:style w:type="paragraph" w:customStyle="1" w:styleId="20">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2">
    <w:name w:val="ca-1"/>
    <w:basedOn w:val="1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7023</Words>
  <Characters>7284</Characters>
  <Lines>54</Lines>
  <Paragraphs>15</Paragraphs>
  <TotalTime>0</TotalTime>
  <ScaleCrop>false</ScaleCrop>
  <LinksUpToDate>false</LinksUpToDate>
  <CharactersWithSpaces>7693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WPS_1663754552</cp:lastModifiedBy>
  <cp:lastPrinted>2018-07-18T09:09:00Z</cp:lastPrinted>
  <dcterms:modified xsi:type="dcterms:W3CDTF">2022-11-04T07:22:31Z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963CFE59603D4417817A2C881F9E8D83</vt:lpwstr>
  </property>
</Properties>
</file>