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60"/>
        </w:tabs>
        <w:spacing w:line="590" w:lineRule="exact"/>
        <w:ind w:left="880" w:hanging="883" w:hangingChars="200"/>
        <w:jc w:val="center"/>
        <w:rPr>
          <w:rFonts w:ascii="方正小标宋_GBK" w:eastAsia="方正小标宋_GBK"/>
          <w:b/>
          <w:sz w:val="44"/>
          <w:szCs w:val="44"/>
        </w:rPr>
      </w:pPr>
      <w:r>
        <w:rPr>
          <w:rFonts w:hint="eastAsia" w:ascii="方正小标宋_GBK" w:eastAsia="方正小标宋_GBK"/>
          <w:b/>
          <w:sz w:val="44"/>
          <w:szCs w:val="44"/>
        </w:rPr>
        <w:t>中国-马来西亚钦州产业园区马淑（东段）</w:t>
      </w:r>
    </w:p>
    <w:p>
      <w:pPr>
        <w:tabs>
          <w:tab w:val="left" w:pos="860"/>
        </w:tabs>
        <w:spacing w:line="590" w:lineRule="exact"/>
        <w:ind w:left="880" w:hanging="883" w:hangingChars="200"/>
        <w:jc w:val="center"/>
        <w:rPr>
          <w:rFonts w:ascii="方正小标宋_GBK" w:eastAsia="方正小标宋_GBK"/>
          <w:b/>
          <w:sz w:val="44"/>
          <w:szCs w:val="44"/>
        </w:rPr>
      </w:pPr>
      <w:r>
        <w:rPr>
          <w:rFonts w:hint="eastAsia" w:ascii="方正小标宋_GBK" w:eastAsia="方正小标宋_GBK"/>
          <w:b/>
          <w:sz w:val="44"/>
          <w:szCs w:val="44"/>
        </w:rPr>
        <w:t>工程（一标段）施工检测费</w:t>
      </w:r>
    </w:p>
    <w:p>
      <w:pPr>
        <w:tabs>
          <w:tab w:val="left" w:pos="860"/>
        </w:tabs>
        <w:spacing w:line="590" w:lineRule="exact"/>
        <w:ind w:firstLine="2650" w:firstLineChars="600"/>
        <w:rPr>
          <w:rFonts w:ascii="方正小标宋_GBK" w:eastAsia="方正小标宋_GBK"/>
          <w:b/>
          <w:sz w:val="44"/>
          <w:szCs w:val="44"/>
        </w:rPr>
      </w:pPr>
      <w:r>
        <w:rPr>
          <w:rFonts w:hint="eastAsia" w:ascii="方正小标宋_GBK" w:eastAsia="方正小标宋_GBK"/>
          <w:b/>
          <w:sz w:val="44"/>
          <w:szCs w:val="44"/>
        </w:rPr>
        <w:t>控制价计算书</w:t>
      </w:r>
    </w:p>
    <w:p>
      <w:pPr>
        <w:tabs>
          <w:tab w:val="left" w:pos="860"/>
        </w:tabs>
        <w:spacing w:line="590" w:lineRule="exact"/>
        <w:jc w:val="center"/>
        <w:rPr>
          <w:rFonts w:ascii="方正小标宋_GBK" w:eastAsia="方正小标宋_GBK"/>
          <w:b/>
          <w:sz w:val="44"/>
          <w:szCs w:val="44"/>
        </w:rPr>
      </w:pPr>
    </w:p>
    <w:p>
      <w:pPr>
        <w:numPr>
          <w:ilvl w:val="0"/>
          <w:numId w:val="0"/>
        </w:numPr>
        <w:ind w:firstLine="643" w:firstLineChars="200"/>
        <w:jc w:val="left"/>
        <w:rPr>
          <w:rFonts w:ascii="黑体" w:hAnsi="黑体" w:eastAsia="黑体" w:cs="黑体"/>
          <w:bCs/>
          <w:szCs w:val="32"/>
        </w:rPr>
      </w:pPr>
      <w:r>
        <w:rPr>
          <w:rFonts w:hint="eastAsia" w:ascii="黑体" w:hAnsi="黑体" w:eastAsia="黑体" w:cs="黑体"/>
          <w:b/>
          <w:szCs w:val="32"/>
          <w:lang w:val="en-US" w:eastAsia="zh-CN"/>
        </w:rPr>
        <w:t>一、</w:t>
      </w:r>
      <w:r>
        <w:rPr>
          <w:rFonts w:hint="eastAsia" w:ascii="黑体" w:hAnsi="黑体" w:eastAsia="黑体" w:cs="黑体"/>
          <w:b/>
          <w:szCs w:val="32"/>
        </w:rPr>
        <w:t>项目名称</w:t>
      </w:r>
    </w:p>
    <w:p>
      <w:pPr>
        <w:spacing w:line="20" w:lineRule="atLeast"/>
        <w:ind w:firstLine="640"/>
        <w:rPr>
          <w:rFonts w:ascii="仿宋" w:hAnsi="仿宋"/>
          <w:bCs/>
          <w:szCs w:val="32"/>
        </w:rPr>
      </w:pPr>
      <w:r>
        <w:rPr>
          <w:rFonts w:hint="eastAsia" w:ascii="仿宋" w:hAnsi="仿宋"/>
          <w:bCs/>
          <w:szCs w:val="32"/>
        </w:rPr>
        <w:t>中国—马来西亚钦州产业园区马淑路（东段）工程（一标段）施工检测。</w:t>
      </w:r>
    </w:p>
    <w:p>
      <w:pPr>
        <w:numPr>
          <w:ilvl w:val="0"/>
          <w:numId w:val="0"/>
        </w:numPr>
        <w:snapToGrid w:val="0"/>
        <w:spacing w:line="20" w:lineRule="atLeast"/>
        <w:ind w:firstLine="643" w:firstLineChars="200"/>
        <w:rPr>
          <w:rFonts w:ascii="黑体" w:hAnsi="黑体" w:eastAsia="黑体" w:cs="黑体"/>
          <w:bCs/>
          <w:szCs w:val="32"/>
        </w:rPr>
      </w:pPr>
      <w:r>
        <w:rPr>
          <w:rFonts w:hint="eastAsia" w:ascii="黑体" w:hAnsi="黑体" w:eastAsia="黑体" w:cs="黑体"/>
          <w:b/>
          <w:szCs w:val="32"/>
          <w:lang w:val="en-US" w:eastAsia="zh-CN"/>
        </w:rPr>
        <w:t>二、</w:t>
      </w:r>
      <w:r>
        <w:rPr>
          <w:rFonts w:hint="eastAsia" w:ascii="黑体" w:hAnsi="黑体" w:eastAsia="黑体" w:cs="黑体"/>
          <w:b/>
          <w:szCs w:val="32"/>
        </w:rPr>
        <w:t>建设规模</w:t>
      </w:r>
    </w:p>
    <w:p>
      <w:pPr>
        <w:spacing w:line="20" w:lineRule="atLeast"/>
        <w:ind w:firstLine="640"/>
        <w:rPr>
          <w:rFonts w:ascii="仿宋" w:hAnsi="仿宋"/>
          <w:bCs/>
          <w:szCs w:val="32"/>
        </w:rPr>
      </w:pPr>
      <w:r>
        <w:rPr>
          <w:rFonts w:hint="eastAsia" w:ascii="仿宋" w:hAnsi="仿宋"/>
          <w:bCs/>
          <w:szCs w:val="32"/>
        </w:rPr>
        <w:t>中国—马来西亚钦州产业园区马淑路（东段）工程（一标段）由西向东，西起锦绣大道叉口，东至锦绣大道交叉口以东约190.54m。道路红线宽度22m，实施长度190.54m，为城市支路。主要工程内容包括道路工程、给排水工程、强弱电管沟预埋、交通工程、照明工程、绿化工程及附属工程等。</w:t>
      </w:r>
    </w:p>
    <w:p>
      <w:pPr>
        <w:spacing w:line="20" w:lineRule="atLeast"/>
        <w:ind w:firstLine="0" w:firstLineChars="0"/>
        <w:rPr>
          <w:rFonts w:ascii="仿宋" w:hAnsi="仿宋"/>
          <w:b/>
          <w:bCs/>
          <w:szCs w:val="32"/>
        </w:rPr>
      </w:pPr>
      <w:r>
        <w:rPr>
          <w:rFonts w:hint="eastAsia" w:ascii="仿宋" w:hAnsi="仿宋"/>
          <w:bCs/>
          <w:szCs w:val="32"/>
        </w:rPr>
        <w:t>主要技术标准：城市主干道，设计车速30km/h，双向车道，路面采用沥青混凝土结构（设计使用年限15年），设计标准轴载为BZZ-100KN。</w:t>
      </w:r>
    </w:p>
    <w:p>
      <w:pPr>
        <w:ind w:firstLine="643"/>
        <w:rPr>
          <w:rFonts w:ascii="黑体" w:hAnsi="黑体" w:eastAsia="黑体" w:cs="黑体"/>
          <w:b/>
          <w:szCs w:val="32"/>
        </w:rPr>
      </w:pPr>
      <w:r>
        <w:rPr>
          <w:rFonts w:hint="eastAsia" w:ascii="黑体" w:hAnsi="黑体" w:eastAsia="黑体" w:cs="黑体"/>
          <w:b/>
          <w:szCs w:val="32"/>
          <w:lang w:val="en-US" w:eastAsia="zh-CN"/>
        </w:rPr>
        <w:t>三</w:t>
      </w:r>
      <w:r>
        <w:rPr>
          <w:rFonts w:hint="eastAsia" w:ascii="黑体" w:hAnsi="黑体" w:eastAsia="黑体" w:cs="黑体"/>
          <w:b/>
          <w:szCs w:val="32"/>
        </w:rPr>
        <w:t>、检测费用计价依据</w:t>
      </w:r>
    </w:p>
    <w:p>
      <w:pPr>
        <w:spacing w:line="20" w:lineRule="atLeast"/>
        <w:ind w:firstLine="640"/>
        <w:rPr>
          <w:rFonts w:ascii="仿宋" w:hAnsi="仿宋"/>
          <w:bCs/>
          <w:szCs w:val="32"/>
        </w:rPr>
      </w:pPr>
      <w:r>
        <w:rPr>
          <w:rFonts w:hint="eastAsia" w:ascii="仿宋" w:hAnsi="仿宋"/>
          <w:bCs/>
          <w:szCs w:val="32"/>
        </w:rPr>
        <w:t>（一）《广西建设工程质量检测和建筑材料试验收费项目及标准指导性意见》（桂建检协[2022]13号）。</w:t>
      </w:r>
    </w:p>
    <w:p>
      <w:pPr>
        <w:spacing w:line="20" w:lineRule="atLeast"/>
        <w:ind w:firstLine="640"/>
        <w:rPr>
          <w:rFonts w:ascii="仿宋" w:hAnsi="仿宋"/>
          <w:bCs/>
          <w:szCs w:val="32"/>
        </w:rPr>
      </w:pPr>
      <w:r>
        <w:rPr>
          <w:rFonts w:hint="eastAsia" w:ascii="仿宋" w:hAnsi="仿宋"/>
          <w:bCs/>
          <w:szCs w:val="32"/>
        </w:rPr>
        <w:t>（二）《钦州市人民政府办公室关于财政性资金投资项目其他费用管理有关问题的通知》（钦政办[2013]161号文件）。</w:t>
      </w:r>
    </w:p>
    <w:p>
      <w:pPr>
        <w:ind w:left="0" w:leftChars="0" w:firstLine="643" w:firstLineChars="200"/>
        <w:jc w:val="left"/>
        <w:rPr>
          <w:rFonts w:ascii="黑体" w:hAnsi="黑体" w:eastAsia="黑体" w:cs="黑体"/>
          <w:b/>
          <w:szCs w:val="32"/>
        </w:rPr>
      </w:pPr>
      <w:r>
        <w:rPr>
          <w:rFonts w:hint="eastAsia" w:ascii="黑体" w:hAnsi="黑体" w:eastAsia="黑体" w:cs="黑体"/>
          <w:b/>
          <w:szCs w:val="32"/>
          <w:lang w:val="en-US" w:eastAsia="zh-CN"/>
        </w:rPr>
        <w:t>四</w:t>
      </w:r>
      <w:r>
        <w:rPr>
          <w:rFonts w:hint="eastAsia" w:ascii="黑体" w:hAnsi="黑体" w:eastAsia="黑体" w:cs="黑体"/>
          <w:b/>
          <w:szCs w:val="32"/>
        </w:rPr>
        <w:t>、检测费用计算</w:t>
      </w:r>
    </w:p>
    <w:p>
      <w:pPr>
        <w:spacing w:line="20" w:lineRule="atLeast"/>
        <w:ind w:firstLine="640"/>
        <w:rPr>
          <w:rFonts w:ascii="仿宋" w:hAnsi="仿宋"/>
          <w:bCs/>
          <w:szCs w:val="32"/>
        </w:rPr>
      </w:pPr>
      <w:r>
        <w:rPr>
          <w:rFonts w:hint="eastAsia" w:ascii="仿宋" w:hAnsi="仿宋"/>
          <w:bCs/>
          <w:szCs w:val="32"/>
        </w:rPr>
        <w:t>（一）中国—马来西亚钦州产业园区马淑路（东段）工程（一标段）施工检测费用根据《钦州市人民政府办公室关于财政性资金投资项目其他费用管理有关问题的通知》（钦政办[2013]161号文件）下浮：</w:t>
      </w:r>
    </w:p>
    <w:p>
      <w:pPr>
        <w:spacing w:line="20" w:lineRule="atLeast"/>
        <w:ind w:left="640" w:leftChars="200" w:firstLine="0" w:firstLineChars="0"/>
        <w:jc w:val="left"/>
        <w:rPr>
          <w:rFonts w:ascii="仿宋" w:hAnsi="仿宋" w:cs="仿宋"/>
          <w:color w:val="000000" w:themeColor="text1"/>
          <w:szCs w:val="32"/>
          <w14:textFill>
            <w14:solidFill>
              <w14:schemeClr w14:val="tx1"/>
            </w14:solidFill>
          </w14:textFill>
        </w:rPr>
      </w:pPr>
      <w:r>
        <w:rPr>
          <w:rFonts w:hint="eastAsia" w:ascii="仿宋" w:hAnsi="仿宋" w:cs="仿宋"/>
          <w:color w:val="000000" w:themeColor="text1"/>
          <w:szCs w:val="32"/>
          <w14:textFill>
            <w14:solidFill>
              <w14:schemeClr w14:val="tx1"/>
            </w14:solidFill>
          </w14:textFill>
        </w:rPr>
        <w:t>1.综合检测费用为：</w:t>
      </w:r>
    </w:p>
    <w:p>
      <w:pPr>
        <w:spacing w:line="20" w:lineRule="atLeast"/>
        <w:ind w:left="640" w:leftChars="200" w:firstLine="0" w:firstLineChars="0"/>
        <w:jc w:val="left"/>
        <w:rPr>
          <w:rFonts w:ascii="仿宋" w:hAnsi="仿宋" w:cs="仿宋"/>
          <w:kern w:val="0"/>
          <w:szCs w:val="32"/>
          <w:lang w:bidi="ar"/>
        </w:rPr>
      </w:pPr>
      <w:r>
        <w:rPr>
          <w:rFonts w:hint="eastAsia" w:ascii="仿宋" w:hAnsi="仿宋" w:cs="仿宋"/>
          <w:kern w:val="0"/>
          <w:szCs w:val="32"/>
        </w:rPr>
        <w:t>（150190.00+</w:t>
      </w:r>
      <w:r>
        <w:rPr>
          <w:rFonts w:hint="eastAsia" w:ascii="仿宋" w:hAnsi="仿宋" w:cs="仿宋"/>
          <w:kern w:val="0"/>
          <w:szCs w:val="32"/>
          <w:lang w:bidi="ar"/>
        </w:rPr>
        <w:t>93696.00+76000.00）×（1-</w:t>
      </w:r>
      <w:r>
        <w:rPr>
          <w:rFonts w:ascii="仿宋" w:hAnsi="仿宋" w:cs="仿宋"/>
          <w:kern w:val="0"/>
          <w:szCs w:val="32"/>
          <w:lang w:bidi="ar"/>
        </w:rPr>
        <w:t>45</w:t>
      </w:r>
      <w:r>
        <w:rPr>
          <w:rFonts w:hint="eastAsia" w:ascii="仿宋" w:hAnsi="仿宋" w:cs="仿宋"/>
          <w:kern w:val="0"/>
          <w:szCs w:val="32"/>
          <w:lang w:bidi="ar"/>
        </w:rPr>
        <w:t>%）=</w:t>
      </w:r>
      <w:r>
        <w:rPr>
          <w:rFonts w:ascii="仿宋" w:hAnsi="仿宋" w:cs="仿宋"/>
          <w:kern w:val="0"/>
          <w:szCs w:val="32"/>
          <w:lang w:bidi="ar"/>
        </w:rPr>
        <w:t>175937.3</w:t>
      </w:r>
      <w:r>
        <w:rPr>
          <w:rFonts w:hint="eastAsia" w:ascii="仿宋" w:hAnsi="仿宋" w:cs="仿宋"/>
          <w:kern w:val="0"/>
          <w:szCs w:val="32"/>
          <w:lang w:bidi="ar"/>
        </w:rPr>
        <w:t>元</w:t>
      </w:r>
    </w:p>
    <w:p>
      <w:pPr>
        <w:spacing w:line="20" w:lineRule="atLeast"/>
        <w:ind w:firstLine="640"/>
        <w:jc w:val="left"/>
        <w:rPr>
          <w:rFonts w:ascii="仿宋" w:hAnsi="仿宋" w:cs="仿宋"/>
          <w:kern w:val="0"/>
          <w:szCs w:val="32"/>
          <w:lang w:bidi="ar"/>
        </w:rPr>
      </w:pPr>
      <w:r>
        <w:rPr>
          <w:rFonts w:hint="eastAsia" w:ascii="仿宋" w:hAnsi="仿宋"/>
          <w:bCs/>
          <w:szCs w:val="32"/>
        </w:rPr>
        <w:t>2.中国—马来西亚钦州产业园区马淑路（东段）工程（一标段）施工检测费用暂定</w:t>
      </w:r>
      <w:r>
        <w:rPr>
          <w:rFonts w:ascii="仿宋" w:hAnsi="仿宋" w:cs="仿宋"/>
          <w:kern w:val="0"/>
          <w:szCs w:val="32"/>
          <w:lang w:bidi="ar"/>
        </w:rPr>
        <w:t>175937.3</w:t>
      </w:r>
      <w:r>
        <w:rPr>
          <w:rFonts w:hint="eastAsia" w:ascii="仿宋" w:hAnsi="仿宋"/>
          <w:bCs/>
          <w:szCs w:val="32"/>
        </w:rPr>
        <w:t>元。</w:t>
      </w:r>
    </w:p>
    <w:p>
      <w:pPr>
        <w:spacing w:line="20" w:lineRule="atLeast"/>
        <w:ind w:firstLine="640"/>
        <w:rPr>
          <w:rFonts w:ascii="仿宋" w:hAnsi="仿宋"/>
          <w:bCs/>
          <w:szCs w:val="32"/>
        </w:rPr>
      </w:pPr>
      <w:r>
        <w:rPr>
          <w:rFonts w:hint="eastAsia" w:ascii="仿宋" w:hAnsi="仿宋"/>
          <w:bCs/>
          <w:szCs w:val="32"/>
        </w:rPr>
        <w:t>（二）检测费用结算时根据检测报告按实结算。</w:t>
      </w:r>
    </w:p>
    <w:p>
      <w:pPr>
        <w:spacing w:line="20" w:lineRule="atLeast"/>
        <w:ind w:left="0" w:leftChars="0" w:firstLine="643" w:firstLineChars="200"/>
        <w:rPr>
          <w:rFonts w:ascii="仿宋" w:hAnsi="仿宋" w:cs="仿宋"/>
          <w:color w:val="000000" w:themeColor="text1"/>
          <w:szCs w:val="32"/>
          <w14:textFill>
            <w14:solidFill>
              <w14:schemeClr w14:val="tx1"/>
            </w14:solidFill>
          </w14:textFill>
        </w:rPr>
      </w:pPr>
      <w:r>
        <w:rPr>
          <w:rFonts w:hint="eastAsia" w:ascii="黑体" w:hAnsi="黑体" w:eastAsia="黑体" w:cs="黑体"/>
          <w:b/>
          <w:szCs w:val="32"/>
          <w:lang w:val="en-US" w:eastAsia="zh-CN"/>
        </w:rPr>
        <w:t>五</w:t>
      </w:r>
      <w:r>
        <w:rPr>
          <w:rFonts w:hint="eastAsia" w:ascii="黑体" w:hAnsi="黑体" w:eastAsia="黑体" w:cs="黑体"/>
          <w:b/>
          <w:szCs w:val="32"/>
        </w:rPr>
        <w:t>、检测内容清单</w:t>
      </w:r>
    </w:p>
    <w:p>
      <w:pPr>
        <w:pStyle w:val="26"/>
        <w:tabs>
          <w:tab w:val="left" w:pos="-1844"/>
          <w:tab w:val="left" w:pos="-142"/>
        </w:tabs>
        <w:wordWrap w:val="0"/>
        <w:rPr>
          <w:rFonts w:ascii="仿宋" w:hAnsi="仿宋" w:eastAsia="仿宋" w:cs="仿宋"/>
          <w:color w:val="000000" w:themeColor="text1"/>
          <w:sz w:val="52"/>
          <w:szCs w:val="52"/>
          <w14:textFill>
            <w14:solidFill>
              <w14:schemeClr w14:val="tx1"/>
            </w14:solidFill>
          </w14:textFill>
        </w:rPr>
      </w:pPr>
      <w:r>
        <w:rPr>
          <w:rFonts w:hint="eastAsia" w:ascii="仿宋" w:hAnsi="仿宋" w:eastAsia="仿宋" w:cs="仿宋"/>
          <w:color w:val="000000" w:themeColor="text1"/>
          <w:szCs w:val="32"/>
          <w14:textFill>
            <w14:solidFill>
              <w14:schemeClr w14:val="tx1"/>
            </w14:solidFill>
          </w14:textFill>
        </w:rPr>
        <w:t xml:space="preserve">    （一）中国—马来西亚钦州产业园区马淑路（东段）工程（一标段）材料、土工检测清单</w:t>
      </w:r>
    </w:p>
    <w:tbl>
      <w:tblPr>
        <w:tblStyle w:val="18"/>
        <w:tblW w:w="8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54"/>
        <w:gridCol w:w="59"/>
        <w:gridCol w:w="379"/>
        <w:gridCol w:w="816"/>
        <w:gridCol w:w="870"/>
        <w:gridCol w:w="1675"/>
        <w:gridCol w:w="713"/>
        <w:gridCol w:w="654"/>
        <w:gridCol w:w="1115"/>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blHeader/>
          <w:jc w:val="center"/>
        </w:trPr>
        <w:tc>
          <w:tcPr>
            <w:tcW w:w="71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分项工程</w:t>
            </w: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检测项目</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检测项目序号</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检测频率</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抽检数量</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单位</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单价（元）</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11"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路基</w:t>
            </w: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击实试验(重型击实）</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同一</w:t>
            </w:r>
            <w:bookmarkStart w:id="0" w:name="_GoBack"/>
            <w:bookmarkEnd w:id="0"/>
            <w:r>
              <w:rPr>
                <w:rFonts w:hint="eastAsia" w:ascii="仿宋" w:hAnsi="仿宋" w:cs="仿宋"/>
                <w:kern w:val="0"/>
                <w:sz w:val="21"/>
                <w:szCs w:val="21"/>
              </w:rPr>
              <w:t>土源、同一土样每5000m³一批。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11"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含水率</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11"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颗粒筛分</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11"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承载比（CBR）</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11"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界限含水率</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10.1.35</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压实度（灌砂法）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10.1.17</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每层每1000m</w:t>
            </w:r>
            <w:r>
              <w:rPr>
                <w:rFonts w:hint="eastAsia" w:ascii="仿宋" w:hAnsi="仿宋" w:cs="仿宋"/>
                <w:kern w:val="0"/>
                <w:sz w:val="21"/>
                <w:szCs w:val="21"/>
                <w:vertAlign w:val="superscript"/>
              </w:rPr>
              <w:t>2</w:t>
            </w:r>
            <w:r>
              <w:rPr>
                <w:rFonts w:hint="eastAsia" w:ascii="仿宋" w:hAnsi="仿宋" w:cs="仿宋"/>
                <w:kern w:val="0"/>
                <w:sz w:val="21"/>
                <w:szCs w:val="21"/>
              </w:rPr>
              <w:t>检测3点，暂按每层回填土300mm</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贝克曼梁弯沉值（在建工程）</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10.1.18</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每车道每20m测1处，1处为2点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级配碎石层</w:t>
            </w:r>
          </w:p>
        </w:tc>
        <w:tc>
          <w:tcPr>
            <w:tcW w:w="654"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粗集料</w:t>
            </w: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颗粒级配（水洗法）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以400m³或600t同产地同规格且同一次进场的为一验收批。不足者以一批计。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654"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针片状颗粒含量</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4.4.12</w:t>
            </w:r>
          </w:p>
        </w:tc>
        <w:tc>
          <w:tcPr>
            <w:tcW w:w="1675"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654"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压碎指标</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4.4.13</w:t>
            </w:r>
          </w:p>
        </w:tc>
        <w:tc>
          <w:tcPr>
            <w:tcW w:w="1675"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击实试验</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10.1.31</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同一土源、同一土样每5000m³一批。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压实度（灌砂法）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10.1.17</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每层每1000m</w:t>
            </w:r>
            <w:r>
              <w:rPr>
                <w:rFonts w:hint="eastAsia" w:ascii="仿宋" w:hAnsi="仿宋" w:cs="仿宋"/>
                <w:kern w:val="0"/>
                <w:sz w:val="21"/>
                <w:szCs w:val="21"/>
                <w:vertAlign w:val="superscript"/>
              </w:rPr>
              <w:t>2</w:t>
            </w:r>
            <w:r>
              <w:rPr>
                <w:rFonts w:hint="eastAsia" w:ascii="仿宋" w:hAnsi="仿宋" w:cs="仿宋"/>
                <w:kern w:val="0"/>
                <w:sz w:val="21"/>
                <w:szCs w:val="21"/>
              </w:rPr>
              <w:t>检测1点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贝克曼梁弯沉值（在建工程）</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10.1.18</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每车道每20m测1处，1处为2点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sz w:val="24"/>
              </w:rPr>
              <w:t>水泥稳定碎石层</w:t>
            </w:r>
          </w:p>
        </w:tc>
        <w:tc>
          <w:tcPr>
            <w:tcW w:w="654"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粗集料</w:t>
            </w: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颗粒级配（水洗法）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以400m³或600t同产地同规格且同一次进场的为一验收批。不足者以一批计。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654"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针片状颗粒含量</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4.4.12</w:t>
            </w:r>
          </w:p>
        </w:tc>
        <w:tc>
          <w:tcPr>
            <w:tcW w:w="1675"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654"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压碎指标</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4.4.13</w:t>
            </w:r>
          </w:p>
        </w:tc>
        <w:tc>
          <w:tcPr>
            <w:tcW w:w="1675"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sz w:val="24"/>
              </w:rPr>
              <w:t>水泥稳定碎石基层</w:t>
            </w:r>
          </w:p>
        </w:tc>
        <w:tc>
          <w:tcPr>
            <w:tcW w:w="654"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水泥</w:t>
            </w: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凝结</w:t>
            </w: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时间</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同一生产厂家、同一等级、同一品种、同一批号且连续进场的水泥，袋装不超过200t为一批，散装不超过500t为一批。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654"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标准稠度用水量</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654"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安定性</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654"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254" w:type="dxa"/>
            <w:gridSpan w:val="3"/>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胶砂</w:t>
            </w: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强度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配合比设计</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10.6.13</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每个规格等级1组</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击实试验（重型）</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10.1.31</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同一土源、同一土样每5000m³一批。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稳定材料剂量测定</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10.6.14</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每2000m</w:t>
            </w:r>
            <w:r>
              <w:rPr>
                <w:rFonts w:hint="eastAsia" w:ascii="仿宋" w:hAnsi="仿宋" w:cs="仿宋"/>
                <w:kern w:val="0"/>
                <w:sz w:val="21"/>
                <w:szCs w:val="21"/>
                <w:vertAlign w:val="superscript"/>
              </w:rPr>
              <w:t>2</w:t>
            </w:r>
            <w:r>
              <w:rPr>
                <w:rFonts w:hint="eastAsia" w:ascii="仿宋" w:hAnsi="仿宋" w:cs="仿宋"/>
                <w:kern w:val="0"/>
                <w:sz w:val="21"/>
                <w:szCs w:val="21"/>
              </w:rPr>
              <w:t>抽测1组</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样</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无侧限抗压强度试验（6个）</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10.6.2</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每2000m</w:t>
            </w:r>
            <w:r>
              <w:rPr>
                <w:rFonts w:hint="eastAsia" w:ascii="仿宋" w:hAnsi="仿宋" w:cs="仿宋"/>
                <w:kern w:val="0"/>
                <w:sz w:val="21"/>
                <w:szCs w:val="21"/>
                <w:vertAlign w:val="superscript"/>
              </w:rPr>
              <w:t>2</w:t>
            </w:r>
            <w:r>
              <w:rPr>
                <w:rFonts w:hint="eastAsia" w:ascii="仿宋" w:hAnsi="仿宋" w:cs="仿宋"/>
                <w:kern w:val="0"/>
                <w:sz w:val="21"/>
                <w:szCs w:val="21"/>
              </w:rPr>
              <w:t>抽测1组</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压实度（灌砂法）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10.1.17</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每层每1000m</w:t>
            </w:r>
            <w:r>
              <w:rPr>
                <w:rFonts w:hint="eastAsia" w:ascii="仿宋" w:hAnsi="仿宋" w:cs="仿宋"/>
                <w:kern w:val="0"/>
                <w:sz w:val="21"/>
                <w:szCs w:val="21"/>
                <w:vertAlign w:val="superscript"/>
              </w:rPr>
              <w:t>2</w:t>
            </w:r>
            <w:r>
              <w:rPr>
                <w:rFonts w:hint="eastAsia" w:ascii="仿宋" w:hAnsi="仿宋" w:cs="仿宋"/>
                <w:kern w:val="0"/>
                <w:sz w:val="21"/>
                <w:szCs w:val="21"/>
              </w:rPr>
              <w:t>检测1点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贝克曼梁弯沉值（在建工程）</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10.1.18</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每车道每20m测1处，1处为2点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72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乳化沥青稀浆封层</w:t>
            </w: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破乳速度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10.4.23</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color w:val="000000"/>
                <w:sz w:val="21"/>
                <w:szCs w:val="21"/>
              </w:rPr>
              <w:t>同一厂家、同一品种、同一标号、同一进场为一批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210" w:firstLineChars="100"/>
              <w:rPr>
                <w:rFonts w:ascii="仿宋" w:hAnsi="仿宋" w:cs="仿宋"/>
                <w:kern w:val="0"/>
                <w:sz w:val="21"/>
                <w:szCs w:val="21"/>
              </w:rPr>
            </w:pPr>
            <w:r>
              <w:rPr>
                <w:rFonts w:hint="eastAsia" w:ascii="仿宋" w:hAnsi="仿宋" w:cs="仿宋"/>
                <w:kern w:val="0"/>
                <w:sz w:val="21"/>
                <w:szCs w:val="21"/>
              </w:rPr>
              <w:t>蒸发残留物含量</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10.4.19</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筛上残留度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10.4.20</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420"/>
              <w:rPr>
                <w:rFonts w:ascii="仿宋" w:hAnsi="仿宋" w:cs="仿宋"/>
                <w:kern w:val="0"/>
                <w:sz w:val="21"/>
                <w:szCs w:val="21"/>
              </w:rPr>
            </w:pPr>
            <w:r>
              <w:rPr>
                <w:rFonts w:hint="eastAsia" w:ascii="仿宋" w:hAnsi="仿宋" w:cs="仿宋"/>
                <w:kern w:val="0"/>
                <w:sz w:val="21"/>
                <w:szCs w:val="21"/>
              </w:rPr>
              <w:t>储存稳定性</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10.4.42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沥青混凝土</w:t>
            </w:r>
          </w:p>
        </w:tc>
        <w:tc>
          <w:tcPr>
            <w:tcW w:w="713" w:type="dxa"/>
            <w:gridSpan w:val="2"/>
            <w:vMerge w:val="restart"/>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普通沥青</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密度与相对密度</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每100t为一验收批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针入度</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延度</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软化点</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沥青混凝土</w:t>
            </w:r>
          </w:p>
        </w:tc>
        <w:tc>
          <w:tcPr>
            <w:tcW w:w="713" w:type="dxa"/>
            <w:gridSpan w:val="2"/>
            <w:vMerge w:val="restart"/>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改性沥青</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密度与相对密度</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每50t为一验收批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针入度</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延度</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软化点</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10.4.4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粗集料</w:t>
            </w:r>
          </w:p>
        </w:tc>
        <w:tc>
          <w:tcPr>
            <w:tcW w:w="1195" w:type="dxa"/>
            <w:gridSpan w:val="2"/>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毛体积相对密度/表观（相对密度）</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4.4.3</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sz w:val="21"/>
                <w:szCs w:val="21"/>
              </w:rPr>
              <w:t>以400m³或600t同产地同规格且同一次进场的为一验收批。不足者以一批计。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颗粒级配（水洗法）</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4.4.1</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针片状颗粒含量</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4.4.12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压碎指标</w:t>
            </w:r>
          </w:p>
        </w:tc>
        <w:tc>
          <w:tcPr>
            <w:tcW w:w="870" w:type="dxa"/>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4.4.13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吸水率</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4.4.8</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细集料</w:t>
            </w:r>
          </w:p>
        </w:tc>
        <w:tc>
          <w:tcPr>
            <w:tcW w:w="1195" w:type="dxa"/>
            <w:gridSpan w:val="2"/>
            <w:shd w:val="clear" w:color="auto" w:fill="auto"/>
            <w:vAlign w:val="center"/>
          </w:tcPr>
          <w:p>
            <w:pPr>
              <w:widowControl/>
              <w:ind w:firstLine="0" w:firstLineChars="0"/>
              <w:rPr>
                <w:rFonts w:ascii="仿宋" w:hAnsi="仿宋" w:cs="仿宋"/>
                <w:kern w:val="0"/>
                <w:sz w:val="21"/>
                <w:szCs w:val="21"/>
              </w:rPr>
            </w:pPr>
            <w:r>
              <w:rPr>
                <w:rFonts w:hint="eastAsia" w:ascii="仿宋" w:hAnsi="仿宋" w:cs="仿宋"/>
                <w:sz w:val="21"/>
                <w:szCs w:val="21"/>
              </w:rPr>
              <w:t>毛体积相对密度/表观（相对密度）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4.3.1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sz w:val="21"/>
                <w:szCs w:val="21"/>
              </w:rPr>
              <w:t>以400m³或600t同产地同规格且同一次进场的为一验收批。不足者以一批计。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420"/>
              <w:rPr>
                <w:rFonts w:ascii="仿宋" w:hAnsi="仿宋" w:cs="仿宋"/>
                <w:kern w:val="0"/>
                <w:sz w:val="21"/>
                <w:szCs w:val="21"/>
              </w:rPr>
            </w:pPr>
          </w:p>
        </w:tc>
        <w:tc>
          <w:tcPr>
            <w:tcW w:w="1195" w:type="dxa"/>
            <w:gridSpan w:val="2"/>
            <w:shd w:val="clear" w:color="auto" w:fill="auto"/>
            <w:vAlign w:val="center"/>
          </w:tcPr>
          <w:p>
            <w:pPr>
              <w:widowControl/>
              <w:ind w:firstLine="0" w:firstLineChars="0"/>
              <w:rPr>
                <w:rFonts w:ascii="仿宋" w:hAnsi="仿宋" w:cs="仿宋"/>
                <w:kern w:val="0"/>
                <w:sz w:val="21"/>
                <w:szCs w:val="21"/>
              </w:rPr>
            </w:pPr>
            <w:r>
              <w:rPr>
                <w:rFonts w:hint="eastAsia" w:ascii="仿宋" w:hAnsi="仿宋" w:cs="仿宋"/>
                <w:sz w:val="21"/>
                <w:szCs w:val="21"/>
              </w:rPr>
              <w:t>颗粒级配（水洗法）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4.3.4</w:t>
            </w:r>
          </w:p>
        </w:tc>
        <w:tc>
          <w:tcPr>
            <w:tcW w:w="1675" w:type="dxa"/>
            <w:vMerge w:val="continue"/>
            <w:shd w:val="clear" w:color="auto" w:fill="auto"/>
            <w:vAlign w:val="center"/>
          </w:tcPr>
          <w:p>
            <w:pPr>
              <w:widowControl/>
              <w:ind w:firstLine="420"/>
              <w:jc w:val="center"/>
              <w:rPr>
                <w:rFonts w:ascii="仿宋" w:hAnsi="仿宋" w:cs="仿宋"/>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rPr>
                <w:rFonts w:ascii="仿宋" w:hAnsi="仿宋" w:cs="仿宋"/>
                <w:kern w:val="0"/>
                <w:sz w:val="21"/>
                <w:szCs w:val="21"/>
              </w:rPr>
            </w:pPr>
            <w:r>
              <w:rPr>
                <w:rFonts w:hint="eastAsia" w:ascii="仿宋" w:hAnsi="仿宋" w:cs="仿宋"/>
                <w:kern w:val="0"/>
                <w:sz w:val="21"/>
                <w:szCs w:val="21"/>
              </w:rPr>
              <w:t>矿粉</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筛分</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10.19.1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sz w:val="21"/>
                <w:szCs w:val="21"/>
              </w:rPr>
              <w:t>以400m³或600t同产地同规格且同一次进场的为一验收批。不足者以一批计。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密度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10.19.2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亲水系数</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10.19.3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700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塑性指数</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10.19.4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安定性</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10.19.5</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沥青混凝土</w:t>
            </w: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沥青混合料</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目标配合比设计</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10.5.1</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每个强度设计一组配合比</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马歇尔稳定度、流值</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10.5.4</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每日、每品种抽检1次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沥青含量（离心分离法）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10.5.7</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矿料级配检验</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10.5.20</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压实度（灌砂法）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10.1.17</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每层每1000m</w:t>
            </w:r>
            <w:r>
              <w:rPr>
                <w:rFonts w:hint="eastAsia" w:ascii="仿宋" w:hAnsi="仿宋" w:cs="仿宋"/>
                <w:kern w:val="0"/>
                <w:sz w:val="21"/>
                <w:szCs w:val="21"/>
                <w:vertAlign w:val="superscript"/>
              </w:rPr>
              <w:t>2</w:t>
            </w:r>
            <w:r>
              <w:rPr>
                <w:rFonts w:hint="eastAsia" w:ascii="仿宋" w:hAnsi="仿宋" w:cs="仿宋"/>
                <w:kern w:val="0"/>
                <w:sz w:val="21"/>
                <w:szCs w:val="21"/>
              </w:rPr>
              <w:t>检测1点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弯沉值（贝克曼梁法）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10.1.18</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每车道每20m测1处，1处为2点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72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厚度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10.1.19</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每层每1000m</w:t>
            </w:r>
            <w:r>
              <w:rPr>
                <w:rFonts w:hint="eastAsia" w:ascii="仿宋" w:hAnsi="仿宋" w:cs="仿宋"/>
                <w:kern w:val="0"/>
                <w:sz w:val="21"/>
                <w:szCs w:val="21"/>
                <w:vertAlign w:val="superscript"/>
              </w:rPr>
              <w:t>2</w:t>
            </w:r>
            <w:r>
              <w:rPr>
                <w:rFonts w:hint="eastAsia" w:ascii="仿宋" w:hAnsi="仿宋" w:cs="仿宋"/>
                <w:kern w:val="0"/>
                <w:sz w:val="21"/>
                <w:szCs w:val="21"/>
              </w:rPr>
              <w:t>检测1点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人行道</w:t>
            </w:r>
          </w:p>
        </w:tc>
        <w:tc>
          <w:tcPr>
            <w:tcW w:w="713" w:type="dxa"/>
            <w:gridSpan w:val="2"/>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路面砖</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抗折强度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10.21.4</w:t>
            </w:r>
          </w:p>
        </w:tc>
        <w:tc>
          <w:tcPr>
            <w:tcW w:w="1675"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sz w:val="21"/>
                <w:szCs w:val="21"/>
              </w:rPr>
              <w:t>同</w:t>
            </w:r>
            <w:r>
              <w:rPr>
                <w:rFonts w:hint="eastAsia" w:ascii="仿宋" w:hAnsi="仿宋" w:cs="仿宋"/>
                <w:color w:val="000000"/>
                <w:kern w:val="0"/>
                <w:sz w:val="21"/>
                <w:szCs w:val="21"/>
              </w:rPr>
              <w:t>一规格、相同原材料在相同条件下生产透水砖</w:t>
            </w:r>
            <w:r>
              <w:rPr>
                <w:rFonts w:hint="eastAsia" w:ascii="仿宋" w:hAnsi="仿宋" w:cs="仿宋"/>
                <w:sz w:val="21"/>
                <w:szCs w:val="21"/>
              </w:rPr>
              <w:t>1000㎡为一批次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透水系数</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10.21.9</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抗滑性</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10.21.8</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1" w:type="dxa"/>
            <w:vMerge w:val="restart"/>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排水部分</w:t>
            </w: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砂浆</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试块抗压强度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4.8.3</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砌筑砂浆按每一个台班、同一配合比、同一层砌体或250m³砌体取1组试块</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标准养护（每组3件）</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4.8.6</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普通配合比设计</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4.8.1</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每个强度为1组（每组送样：砂子30kg、水泥20kg）</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个</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钢筋原材（拉伸试验）（包括焊接）</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(d≤12mm)</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以同一牌号、同一厂家、同一炉罐号、同一规格、同一进场时间的不大于60t的钢筋为一批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(12＜d≤20)</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4.14.1</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(20＜d≤28)</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4.14.1</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反向弯曲</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(d≤12mm)</w:t>
            </w:r>
          </w:p>
        </w:tc>
        <w:tc>
          <w:tcPr>
            <w:tcW w:w="870"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4.14.3</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(12＜d≤20)</w:t>
            </w:r>
          </w:p>
        </w:tc>
        <w:tc>
          <w:tcPr>
            <w:tcW w:w="870"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675"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130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(20＜d≤28)</w:t>
            </w:r>
          </w:p>
        </w:tc>
        <w:tc>
          <w:tcPr>
            <w:tcW w:w="870"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675"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尺寸或重量偏差检测</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d≤20mm</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4.14.4</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d＞20mm</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4.14.4</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烧结砖</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抗压强度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4.17.1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以同规格、材料、强度和同一工艺生产的3.5万～15万块为一批，不足3.5万块以一批计。。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0"/>
                <w:szCs w:val="20"/>
              </w:rPr>
            </w:pPr>
            <w:r>
              <w:rPr>
                <w:rFonts w:hint="eastAsia" w:ascii="仿宋" w:hAnsi="仿宋" w:cs="仿宋"/>
                <w:kern w:val="0"/>
                <w:sz w:val="20"/>
                <w:szCs w:val="20"/>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孔洞率</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4.17.2</w:t>
            </w:r>
          </w:p>
        </w:tc>
        <w:tc>
          <w:tcPr>
            <w:tcW w:w="1675"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0"/>
                <w:szCs w:val="20"/>
              </w:rPr>
            </w:pPr>
            <w:r>
              <w:rPr>
                <w:rFonts w:hint="eastAsia" w:ascii="仿宋" w:hAnsi="仿宋" w:cs="仿宋"/>
                <w:kern w:val="0"/>
                <w:sz w:val="20"/>
                <w:szCs w:val="20"/>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1" w:type="dxa"/>
            <w:vMerge w:val="continue"/>
            <w:vAlign w:val="center"/>
          </w:tcPr>
          <w:p>
            <w:pPr>
              <w:widowControl/>
              <w:wordWrap w:val="0"/>
              <w:spacing w:line="240" w:lineRule="auto"/>
              <w:ind w:firstLine="0" w:firstLineChars="0"/>
              <w:jc w:val="left"/>
              <w:rPr>
                <w:rFonts w:ascii="仿宋" w:hAnsi="仿宋" w:cs="仿宋"/>
                <w:kern w:val="0"/>
                <w:sz w:val="21"/>
                <w:szCs w:val="21"/>
              </w:rPr>
            </w:pP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水泥</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凝结时间</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以同品种、同标号、同一出厂编号且同一次进场的，袋装水泥不超过200散装水泥不超过500t为一批。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标稠</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安定性</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胶砂强度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4.1.4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1" w:type="dxa"/>
            <w:vMerge w:val="restart"/>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排水部分</w:t>
            </w: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砂</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r>
              <w:rPr>
                <w:rFonts w:hint="eastAsia" w:ascii="仿宋" w:hAnsi="仿宋" w:cs="仿宋"/>
                <w:color w:val="000000"/>
                <w:kern w:val="0"/>
                <w:sz w:val="21"/>
                <w:szCs w:val="21"/>
              </w:rPr>
              <w:t>表观密度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4.3.1</w:t>
            </w:r>
          </w:p>
        </w:tc>
        <w:tc>
          <w:tcPr>
            <w:tcW w:w="1675" w:type="dxa"/>
            <w:vMerge w:val="restart"/>
            <w:shd w:val="clear" w:color="auto" w:fill="auto"/>
            <w:vAlign w:val="center"/>
          </w:tcPr>
          <w:p>
            <w:pPr>
              <w:widowControl/>
              <w:ind w:firstLine="0" w:firstLineChars="0"/>
              <w:rPr>
                <w:rFonts w:ascii="仿宋" w:hAnsi="仿宋" w:cs="仿宋"/>
                <w:color w:val="000000"/>
                <w:kern w:val="0"/>
                <w:sz w:val="21"/>
                <w:szCs w:val="21"/>
                <w:lang w:bidi="ar"/>
              </w:rPr>
            </w:pPr>
            <w:r>
              <w:rPr>
                <w:rFonts w:hint="eastAsia" w:ascii="仿宋" w:hAnsi="仿宋" w:cs="仿宋"/>
                <w:color w:val="000000"/>
                <w:kern w:val="0"/>
                <w:sz w:val="21"/>
                <w:szCs w:val="21"/>
              </w:rPr>
              <w:t>以2000t同产地同规格且同一次进场的为一验收批。不足者以一批计</w:t>
            </w:r>
          </w:p>
        </w:tc>
        <w:tc>
          <w:tcPr>
            <w:tcW w:w="713"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堆积密度</w:t>
            </w:r>
          </w:p>
        </w:tc>
        <w:tc>
          <w:tcPr>
            <w:tcW w:w="870"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4.3.2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100</w:t>
            </w:r>
          </w:p>
        </w:tc>
        <w:tc>
          <w:tcPr>
            <w:tcW w:w="1121"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空隙率</w:t>
            </w:r>
          </w:p>
        </w:tc>
        <w:tc>
          <w:tcPr>
            <w:tcW w:w="870"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4.3.3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100</w:t>
            </w:r>
          </w:p>
        </w:tc>
        <w:tc>
          <w:tcPr>
            <w:tcW w:w="1121"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颗粒级配（</w:t>
            </w:r>
            <w:r>
              <w:rPr>
                <w:rFonts w:hint="eastAsia" w:ascii="仿宋" w:hAnsi="仿宋" w:cs="仿宋"/>
                <w:kern w:val="0"/>
                <w:sz w:val="21"/>
                <w:szCs w:val="21"/>
              </w:rPr>
              <w:t>干筛法</w:t>
            </w:r>
            <w:r>
              <w:rPr>
                <w:rFonts w:hint="eastAsia" w:ascii="仿宋" w:hAnsi="仿宋" w:cs="仿宋"/>
                <w:color w:val="000000"/>
                <w:kern w:val="0"/>
                <w:sz w:val="21"/>
                <w:szCs w:val="21"/>
              </w:rPr>
              <w:t>）</w:t>
            </w:r>
          </w:p>
        </w:tc>
        <w:tc>
          <w:tcPr>
            <w:tcW w:w="870"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4.3.4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含泥量</w:t>
            </w:r>
          </w:p>
        </w:tc>
        <w:tc>
          <w:tcPr>
            <w:tcW w:w="870"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4.3.5</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泥块含量</w:t>
            </w:r>
          </w:p>
        </w:tc>
        <w:tc>
          <w:tcPr>
            <w:tcW w:w="870"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4.3.7</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氯离子</w:t>
            </w:r>
          </w:p>
        </w:tc>
        <w:tc>
          <w:tcPr>
            <w:tcW w:w="870"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4.3.8</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b/>
                <w:bCs/>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井盖</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承载力</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10.23.3</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color w:val="000000"/>
                <w:kern w:val="0"/>
                <w:sz w:val="21"/>
                <w:szCs w:val="21"/>
              </w:rPr>
              <w:t>产品以同一规格、相同原材料在相同条件下生产的检查井盖构成批量。生产批量:以 300套为一批，不足该数量时按一批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雨篦</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color w:val="000000"/>
                <w:kern w:val="0"/>
                <w:sz w:val="21"/>
                <w:szCs w:val="21"/>
              </w:rPr>
            </w:pPr>
            <w:r>
              <w:rPr>
                <w:rFonts w:hint="eastAsia" w:ascii="仿宋" w:hAnsi="仿宋" w:cs="仿宋"/>
                <w:color w:val="000000"/>
                <w:kern w:val="0"/>
                <w:sz w:val="21"/>
                <w:szCs w:val="21"/>
              </w:rPr>
              <w:t>承载力</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10.23.3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击实试验（重型）</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10.1.31</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同一土源、同一土样每5000m³一批。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压实度（灌砂法）</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10.1.17</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两井之间或1000m²，每层每侧一组（每组3点）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24</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1908" w:type="dxa"/>
            <w:gridSpan w:val="4"/>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轻型动力触探</w:t>
            </w:r>
          </w:p>
          <w:p>
            <w:pPr>
              <w:widowControl/>
              <w:wordWrap w:val="0"/>
              <w:spacing w:line="240" w:lineRule="auto"/>
              <w:ind w:firstLine="0" w:firstLineChars="0"/>
              <w:jc w:val="center"/>
              <w:rPr>
                <w:rFonts w:ascii="仿宋" w:hAnsi="仿宋" w:cs="仿宋"/>
                <w:kern w:val="0"/>
                <w:sz w:val="21"/>
                <w:szCs w:val="21"/>
              </w:rPr>
            </w:pP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10.1.12</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每20米测一点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711" w:type="dxa"/>
            <w:vMerge w:val="restart"/>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排水部分</w:t>
            </w: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塑料管材、管件</w:t>
            </w:r>
          </w:p>
        </w:tc>
        <w:tc>
          <w:tcPr>
            <w:tcW w:w="379"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烘箱试验</w:t>
            </w:r>
          </w:p>
        </w:tc>
        <w:tc>
          <w:tcPr>
            <w:tcW w:w="816"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d</w:t>
            </w: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450~800</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4.46.11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材料要用同一批次和同一厂家的以5000米为一批次。</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379"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环柔性</w:t>
            </w:r>
          </w:p>
        </w:tc>
        <w:tc>
          <w:tcPr>
            <w:tcW w:w="816"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d</w:t>
            </w: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450~800</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4.46.20</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379"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环刚度</w:t>
            </w:r>
          </w:p>
        </w:tc>
        <w:tc>
          <w:tcPr>
            <w:tcW w:w="816"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d</w:t>
            </w: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450~800</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4.46.19</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379"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外观</w:t>
            </w:r>
          </w:p>
        </w:tc>
        <w:tc>
          <w:tcPr>
            <w:tcW w:w="816"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外径≥400mm</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4.46.1</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kern w:val="0"/>
                <w:sz w:val="21"/>
                <w:szCs w:val="21"/>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379"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壁厚</w:t>
            </w:r>
          </w:p>
        </w:tc>
        <w:tc>
          <w:tcPr>
            <w:tcW w:w="816"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外径≥400mm</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4.46.2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混凝土管</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外观质量</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10.12.3</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由相同原材料、相同生产工艺生产的同一种规格、同一种接头型式,同一种外压荷载级别的管子组</w:t>
            </w: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成一个受检批。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尺寸允许偏差</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10.12.4</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8"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lang w:eastAsia="en-US"/>
              </w:rPr>
            </w:pPr>
            <w:r>
              <w:rPr>
                <w:rFonts w:hint="eastAsia" w:ascii="仿宋" w:hAnsi="仿宋" w:cs="仿宋"/>
                <w:kern w:val="0"/>
                <w:sz w:val="21"/>
                <w:szCs w:val="21"/>
              </w:rPr>
              <w:t>外压荷载（</w:t>
            </w:r>
            <w:r>
              <w:rPr>
                <w:rFonts w:hint="eastAsia" w:ascii="仿宋" w:hAnsi="仿宋" w:cs="仿宋"/>
                <w:kern w:val="0"/>
                <w:sz w:val="21"/>
                <w:szCs w:val="21"/>
                <w:lang w:eastAsia="en-US"/>
              </w:rPr>
              <w:t>φ300～</w:t>
            </w:r>
          </w:p>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lang w:eastAsia="en-US"/>
              </w:rPr>
              <w:t>φ500</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10.12.5</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1100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4" w:hRule="atLeast"/>
          <w:jc w:val="center"/>
        </w:trPr>
        <w:tc>
          <w:tcPr>
            <w:tcW w:w="711" w:type="dxa"/>
            <w:vMerge w:val="restart"/>
            <w:vAlign w:val="center"/>
          </w:tcPr>
          <w:p>
            <w:pPr>
              <w:widowControl/>
              <w:wordWrap w:val="0"/>
              <w:spacing w:line="240" w:lineRule="auto"/>
              <w:ind w:firstLine="0" w:firstLineChars="0"/>
              <w:jc w:val="center"/>
              <w:rPr>
                <w:rFonts w:ascii="仿宋" w:hAnsi="仿宋" w:cs="仿宋"/>
              </w:rPr>
            </w:pPr>
            <w:r>
              <w:rPr>
                <w:rFonts w:hint="eastAsia" w:ascii="仿宋" w:hAnsi="仿宋" w:cs="仿宋"/>
                <w:kern w:val="0"/>
                <w:sz w:val="21"/>
                <w:szCs w:val="21"/>
              </w:rPr>
              <w:t>排水部分</w:t>
            </w:r>
          </w:p>
        </w:tc>
        <w:tc>
          <w:tcPr>
            <w:tcW w:w="713"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工程管网</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闭水试验</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10.11.5</w:t>
            </w:r>
          </w:p>
        </w:tc>
        <w:tc>
          <w:tcPr>
            <w:tcW w:w="167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color w:val="000000"/>
                <w:kern w:val="0"/>
                <w:sz w:val="21"/>
                <w:szCs w:val="21"/>
              </w:rPr>
              <w:t>排水管道的闭水试验，管径小于700mm的每个井段均须做闭水试验，管径大于700mm的管道抽检三分之一</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混凝土</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立方体抗压强度(边长150mm)（每组3件）</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4.7.2</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每100盘但不超过100m³的同配比混凝土取样不少于1组：每一工作班拌制的同配合比混凝土取样不少于1组：同时还应考虑为检验结构或构件施工阶段混凝土强度所必需的试件组数。</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标准养护（抗压试块)（每组3件）</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4.7.11</w:t>
            </w:r>
          </w:p>
        </w:tc>
        <w:tc>
          <w:tcPr>
            <w:tcW w:w="1675"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restart"/>
            <w:shd w:val="clear" w:color="auto" w:fill="auto"/>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路缘石</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抗压强度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10.22.3</w:t>
            </w:r>
          </w:p>
        </w:tc>
        <w:tc>
          <w:tcPr>
            <w:tcW w:w="1675" w:type="dxa"/>
            <w:vMerge w:val="restart"/>
            <w:shd w:val="clear" w:color="auto" w:fill="auto"/>
            <w:vAlign w:val="center"/>
          </w:tcPr>
          <w:p>
            <w:pPr>
              <w:widowControl/>
              <w:wordWrap w:val="0"/>
              <w:spacing w:line="240" w:lineRule="auto"/>
              <w:ind w:firstLine="0" w:firstLineChars="0"/>
              <w:jc w:val="left"/>
              <w:rPr>
                <w:rFonts w:ascii="仿宋" w:hAnsi="仿宋" w:cs="仿宋"/>
                <w:kern w:val="0"/>
                <w:sz w:val="21"/>
                <w:szCs w:val="21"/>
              </w:rPr>
            </w:pPr>
            <w:r>
              <w:rPr>
                <w:rFonts w:hint="eastAsia" w:ascii="仿宋" w:hAnsi="仿宋" w:cs="仿宋"/>
                <w:color w:val="000000"/>
                <w:kern w:val="0"/>
                <w:sz w:val="21"/>
                <w:szCs w:val="21"/>
              </w:rPr>
              <w:t>同一类别、同一规格、同一等级的，以2万块为一批，不足2万块视为一批，送检一组</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吸水率</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10.22.4</w:t>
            </w:r>
          </w:p>
        </w:tc>
        <w:tc>
          <w:tcPr>
            <w:tcW w:w="1675" w:type="dxa"/>
            <w:vMerge w:val="continue"/>
            <w:shd w:val="clear" w:color="auto" w:fill="auto"/>
            <w:vAlign w:val="center"/>
          </w:tcPr>
          <w:p>
            <w:pPr>
              <w:widowControl/>
              <w:wordWrap w:val="0"/>
              <w:spacing w:line="240" w:lineRule="auto"/>
              <w:ind w:firstLine="0" w:firstLineChars="0"/>
              <w:jc w:val="left"/>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项</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restart"/>
            <w:vAlign w:val="center"/>
          </w:tcPr>
          <w:p>
            <w:pPr>
              <w:widowControl/>
              <w:wordWrap w:val="0"/>
              <w:spacing w:line="240" w:lineRule="auto"/>
              <w:ind w:firstLine="0" w:firstLineChars="0"/>
              <w:jc w:val="center"/>
              <w:rPr>
                <w:rFonts w:ascii="仿宋" w:hAnsi="仿宋" w:cs="仿宋"/>
              </w:rPr>
            </w:pPr>
            <w:r>
              <w:rPr>
                <w:rFonts w:hint="eastAsia" w:ascii="仿宋" w:hAnsi="仿宋" w:cs="仿宋"/>
                <w:kern w:val="0"/>
                <w:sz w:val="21"/>
                <w:szCs w:val="21"/>
              </w:rPr>
              <w:t>景观部分</w:t>
            </w:r>
          </w:p>
        </w:tc>
        <w:tc>
          <w:tcPr>
            <w:tcW w:w="713" w:type="dxa"/>
            <w:gridSpan w:val="2"/>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种植土</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PH值</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11.3.1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客土每500m³或2000㎡为一检验批；原状士2000㎡为一检验批；栽植基质每200m³为一检验批</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容重/密度</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11.3.2</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全盐量</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11.3.3</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500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有机质</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11.3.5</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800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土样外观/块径</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11.3.6</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组</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200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电线</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导体电阻</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6.13.1</w:t>
            </w:r>
          </w:p>
        </w:tc>
        <w:tc>
          <w:tcPr>
            <w:tcW w:w="1675" w:type="dxa"/>
            <w:vMerge w:val="restart"/>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sz w:val="21"/>
                <w:szCs w:val="21"/>
              </w:rPr>
              <w:t>每单位工程同厂家各种规格的电缆总数的10%，且不少于2个规格</w:t>
            </w: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color w:val="000000"/>
                <w:kern w:val="0"/>
                <w:sz w:val="21"/>
                <w:szCs w:val="21"/>
              </w:rPr>
              <w:t>规格·每芯</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11" w:type="dxa"/>
            <w:vMerge w:val="continue"/>
            <w:vAlign w:val="center"/>
          </w:tcPr>
          <w:p>
            <w:pPr>
              <w:widowControl/>
              <w:wordWrap w:val="0"/>
              <w:spacing w:line="240" w:lineRule="auto"/>
              <w:ind w:firstLine="0" w:firstLineChars="0"/>
              <w:jc w:val="center"/>
              <w:rPr>
                <w:rFonts w:ascii="仿宋" w:hAnsi="仿宋" w:cs="仿宋"/>
              </w:rPr>
            </w:pPr>
          </w:p>
        </w:tc>
        <w:tc>
          <w:tcPr>
            <w:tcW w:w="713"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电缆</w:t>
            </w:r>
          </w:p>
        </w:tc>
        <w:tc>
          <w:tcPr>
            <w:tcW w:w="1195" w:type="dxa"/>
            <w:gridSpan w:val="2"/>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导体电阻</w:t>
            </w:r>
          </w:p>
        </w:tc>
        <w:tc>
          <w:tcPr>
            <w:tcW w:w="870"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6.13.1</w:t>
            </w:r>
          </w:p>
        </w:tc>
        <w:tc>
          <w:tcPr>
            <w:tcW w:w="1675" w:type="dxa"/>
            <w:vMerge w:val="continue"/>
            <w:shd w:val="clear" w:color="auto" w:fill="auto"/>
            <w:vAlign w:val="center"/>
          </w:tcPr>
          <w:p>
            <w:pPr>
              <w:widowControl/>
              <w:wordWrap w:val="0"/>
              <w:spacing w:line="240" w:lineRule="auto"/>
              <w:ind w:firstLine="0" w:firstLineChars="0"/>
              <w:jc w:val="center"/>
              <w:rPr>
                <w:rFonts w:ascii="仿宋" w:hAnsi="仿宋" w:cs="仿宋"/>
                <w:kern w:val="0"/>
                <w:sz w:val="21"/>
                <w:szCs w:val="21"/>
              </w:rPr>
            </w:pPr>
          </w:p>
        </w:tc>
        <w:tc>
          <w:tcPr>
            <w:tcW w:w="713"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10</w:t>
            </w:r>
          </w:p>
        </w:tc>
        <w:tc>
          <w:tcPr>
            <w:tcW w:w="654"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color w:val="000000"/>
                <w:kern w:val="0"/>
                <w:sz w:val="21"/>
                <w:szCs w:val="21"/>
              </w:rPr>
              <w:t>规格·每芯</w:t>
            </w:r>
          </w:p>
        </w:tc>
        <w:tc>
          <w:tcPr>
            <w:tcW w:w="1115"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w:t>
            </w:r>
          </w:p>
        </w:tc>
        <w:tc>
          <w:tcPr>
            <w:tcW w:w="1121" w:type="dxa"/>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2619" w:type="dxa"/>
            <w:gridSpan w:val="5"/>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费用合计（元）</w:t>
            </w:r>
          </w:p>
        </w:tc>
        <w:tc>
          <w:tcPr>
            <w:tcW w:w="6148" w:type="dxa"/>
            <w:gridSpan w:val="6"/>
            <w:shd w:val="clear" w:color="auto" w:fill="auto"/>
            <w:vAlign w:val="center"/>
          </w:tcPr>
          <w:p>
            <w:pPr>
              <w:widowControl/>
              <w:wordWrap w:val="0"/>
              <w:spacing w:line="240" w:lineRule="auto"/>
              <w:ind w:firstLine="0" w:firstLineChars="0"/>
              <w:jc w:val="center"/>
              <w:rPr>
                <w:rFonts w:ascii="仿宋" w:hAnsi="仿宋" w:cs="仿宋"/>
                <w:kern w:val="0"/>
                <w:sz w:val="21"/>
                <w:szCs w:val="21"/>
              </w:rPr>
            </w:pPr>
            <w:r>
              <w:rPr>
                <w:rFonts w:hint="eastAsia" w:ascii="仿宋" w:hAnsi="仿宋" w:cs="仿宋"/>
                <w:b/>
                <w:bCs/>
                <w:kern w:val="0"/>
                <w:sz w:val="21"/>
                <w:szCs w:val="21"/>
              </w:rPr>
              <w:t>150190.00</w:t>
            </w:r>
          </w:p>
        </w:tc>
      </w:tr>
    </w:tbl>
    <w:p>
      <w:pPr>
        <w:wordWrap w:val="0"/>
        <w:ind w:firstLine="0" w:firstLineChars="0"/>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（二）桩基检测清单</w:t>
      </w:r>
    </w:p>
    <w:p>
      <w:pPr>
        <w:pStyle w:val="36"/>
        <w:numPr>
          <w:ilvl w:val="0"/>
          <w:numId w:val="2"/>
        </w:numPr>
        <w:spacing w:line="570" w:lineRule="exact"/>
        <w:ind w:left="0" w:firstLine="640"/>
        <w:jc w:val="left"/>
        <w:rPr>
          <w:rFonts w:ascii="仿宋" w:hAnsi="仿宋" w:cs="仿宋"/>
          <w:szCs w:val="32"/>
        </w:rPr>
      </w:pPr>
      <w:r>
        <w:rPr>
          <w:rFonts w:hint="eastAsia" w:ascii="仿宋" w:hAnsi="仿宋" w:cs="仿宋"/>
          <w:szCs w:val="32"/>
        </w:rPr>
        <w:t>基桩竖向抗压静载荷试验</w:t>
      </w:r>
    </w:p>
    <w:tbl>
      <w:tblPr>
        <w:tblStyle w:val="18"/>
        <w:tblW w:w="8943" w:type="dxa"/>
        <w:jc w:val="center"/>
        <w:tblLayout w:type="fixed"/>
        <w:tblCellMar>
          <w:top w:w="0" w:type="dxa"/>
          <w:left w:w="108" w:type="dxa"/>
          <w:bottom w:w="0" w:type="dxa"/>
          <w:right w:w="108" w:type="dxa"/>
        </w:tblCellMar>
      </w:tblPr>
      <w:tblGrid>
        <w:gridCol w:w="880"/>
        <w:gridCol w:w="1329"/>
        <w:gridCol w:w="1059"/>
        <w:gridCol w:w="1005"/>
        <w:gridCol w:w="1005"/>
        <w:gridCol w:w="1169"/>
        <w:gridCol w:w="1213"/>
        <w:gridCol w:w="1283"/>
      </w:tblGrid>
      <w:tr>
        <w:tblPrEx>
          <w:tblCellMar>
            <w:top w:w="0" w:type="dxa"/>
            <w:left w:w="108" w:type="dxa"/>
            <w:bottom w:w="0" w:type="dxa"/>
            <w:right w:w="108" w:type="dxa"/>
          </w:tblCellMar>
        </w:tblPrEx>
        <w:trPr>
          <w:trHeight w:val="90" w:hRule="atLeast"/>
          <w:jc w:val="center"/>
        </w:trPr>
        <w:tc>
          <w:tcPr>
            <w:tcW w:w="88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textAlignment w:val="center"/>
              <w:rPr>
                <w:rFonts w:ascii="仿宋" w:hAnsi="仿宋" w:cs="仿宋"/>
                <w:sz w:val="21"/>
                <w:szCs w:val="21"/>
              </w:rPr>
            </w:pPr>
            <w:r>
              <w:rPr>
                <w:rFonts w:hint="eastAsia" w:ascii="仿宋" w:hAnsi="仿宋" w:cs="仿宋"/>
                <w:kern w:val="0"/>
                <w:sz w:val="21"/>
                <w:szCs w:val="21"/>
                <w:lang w:bidi="ar"/>
              </w:rPr>
              <w:t>检测部位</w:t>
            </w:r>
          </w:p>
        </w:tc>
        <w:tc>
          <w:tcPr>
            <w:tcW w:w="132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textAlignment w:val="center"/>
              <w:rPr>
                <w:rFonts w:ascii="仿宋" w:hAnsi="仿宋" w:cs="仿宋"/>
                <w:sz w:val="21"/>
                <w:szCs w:val="21"/>
              </w:rPr>
            </w:pPr>
            <w:r>
              <w:rPr>
                <w:rFonts w:hint="eastAsia" w:ascii="仿宋" w:hAnsi="仿宋" w:cs="仿宋"/>
                <w:kern w:val="0"/>
                <w:sz w:val="21"/>
                <w:szCs w:val="21"/>
                <w:lang w:bidi="ar"/>
              </w:rPr>
              <w:t>检测项目</w:t>
            </w:r>
          </w:p>
        </w:tc>
        <w:tc>
          <w:tcPr>
            <w:tcW w:w="1059" w:type="dxa"/>
            <w:tcBorders>
              <w:top w:val="single" w:color="000000" w:sz="4" w:space="0"/>
              <w:left w:val="single" w:color="000000" w:sz="4" w:space="0"/>
              <w:bottom w:val="single" w:color="000000" w:sz="4" w:space="0"/>
              <w:right w:val="single" w:color="auto" w:sz="4" w:space="0"/>
            </w:tcBorders>
            <w:vAlign w:val="center"/>
          </w:tcPr>
          <w:p>
            <w:pPr>
              <w:widowControl/>
              <w:spacing w:line="240" w:lineRule="auto"/>
              <w:ind w:firstLine="0" w:firstLineChars="0"/>
              <w:textAlignment w:val="center"/>
              <w:rPr>
                <w:rFonts w:ascii="仿宋" w:hAnsi="仿宋" w:cs="仿宋"/>
                <w:sz w:val="21"/>
                <w:szCs w:val="21"/>
              </w:rPr>
            </w:pPr>
            <w:r>
              <w:rPr>
                <w:rFonts w:hint="eastAsia" w:ascii="仿宋" w:hAnsi="仿宋" w:cs="仿宋"/>
                <w:kern w:val="0"/>
                <w:sz w:val="21"/>
                <w:szCs w:val="21"/>
                <w:lang w:bidi="ar"/>
              </w:rPr>
              <w:t>检测项目序号</w:t>
            </w:r>
          </w:p>
        </w:tc>
        <w:tc>
          <w:tcPr>
            <w:tcW w:w="1005" w:type="dxa"/>
            <w:tcBorders>
              <w:top w:val="single" w:color="000000" w:sz="4" w:space="0"/>
              <w:left w:val="single" w:color="auto" w:sz="4" w:space="0"/>
              <w:bottom w:val="single" w:color="000000" w:sz="4" w:space="0"/>
              <w:right w:val="single" w:color="000000" w:sz="4" w:space="0"/>
            </w:tcBorders>
            <w:vAlign w:val="center"/>
          </w:tcPr>
          <w:p>
            <w:pPr>
              <w:widowControl/>
              <w:spacing w:line="240" w:lineRule="auto"/>
              <w:ind w:firstLine="0" w:firstLineChars="0"/>
              <w:textAlignment w:val="center"/>
              <w:rPr>
                <w:rFonts w:ascii="仿宋" w:hAnsi="仿宋" w:cs="仿宋"/>
                <w:kern w:val="0"/>
                <w:sz w:val="21"/>
                <w:szCs w:val="21"/>
                <w:lang w:bidi="ar"/>
              </w:rPr>
            </w:pPr>
            <w:r>
              <w:rPr>
                <w:rFonts w:hint="eastAsia" w:ascii="仿宋" w:hAnsi="仿宋" w:cs="仿宋"/>
                <w:kern w:val="0"/>
                <w:sz w:val="21"/>
                <w:szCs w:val="21"/>
                <w:lang w:bidi="ar"/>
              </w:rPr>
              <w:t>试验数量（次）</w:t>
            </w: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textAlignment w:val="center"/>
              <w:rPr>
                <w:rFonts w:ascii="仿宋" w:hAnsi="仿宋" w:cs="仿宋"/>
                <w:sz w:val="21"/>
                <w:szCs w:val="21"/>
              </w:rPr>
            </w:pPr>
            <w:r>
              <w:rPr>
                <w:rFonts w:hint="eastAsia" w:ascii="仿宋" w:hAnsi="仿宋" w:cs="仿宋"/>
                <w:kern w:val="0"/>
                <w:sz w:val="21"/>
                <w:szCs w:val="21"/>
                <w:lang w:bidi="ar"/>
              </w:rPr>
              <w:t>特征值(kN)</w:t>
            </w:r>
          </w:p>
        </w:tc>
        <w:tc>
          <w:tcPr>
            <w:tcW w:w="1169" w:type="dxa"/>
            <w:tcBorders>
              <w:top w:val="single" w:color="000000" w:sz="4" w:space="0"/>
              <w:left w:val="single" w:color="auto" w:sz="4" w:space="0"/>
              <w:bottom w:val="single" w:color="000000" w:sz="4" w:space="0"/>
              <w:right w:val="single" w:color="000000" w:sz="4" w:space="0"/>
            </w:tcBorders>
            <w:vAlign w:val="center"/>
          </w:tcPr>
          <w:p>
            <w:pPr>
              <w:widowControl/>
              <w:spacing w:line="240" w:lineRule="auto"/>
              <w:ind w:firstLine="0" w:firstLineChars="0"/>
              <w:textAlignment w:val="center"/>
              <w:rPr>
                <w:rFonts w:ascii="仿宋" w:hAnsi="仿宋" w:cs="仿宋"/>
                <w:kern w:val="0"/>
                <w:sz w:val="21"/>
                <w:szCs w:val="21"/>
                <w:lang w:bidi="ar"/>
              </w:rPr>
            </w:pPr>
            <w:r>
              <w:rPr>
                <w:rFonts w:hint="eastAsia" w:ascii="仿宋" w:hAnsi="仿宋" w:cs="仿宋"/>
                <w:kern w:val="0"/>
                <w:sz w:val="21"/>
                <w:szCs w:val="21"/>
                <w:lang w:bidi="ar"/>
              </w:rPr>
              <w:t>设备总吨位（吨）</w:t>
            </w:r>
          </w:p>
        </w:tc>
        <w:tc>
          <w:tcPr>
            <w:tcW w:w="1213" w:type="dxa"/>
            <w:tcBorders>
              <w:top w:val="single" w:color="000000" w:sz="4" w:space="0"/>
              <w:left w:val="single" w:color="auto" w:sz="4" w:space="0"/>
              <w:right w:val="single" w:color="000000" w:sz="4" w:space="0"/>
            </w:tcBorders>
            <w:vAlign w:val="center"/>
          </w:tcPr>
          <w:p>
            <w:pPr>
              <w:widowControl/>
              <w:spacing w:line="240" w:lineRule="auto"/>
              <w:ind w:firstLine="0" w:firstLineChars="0"/>
              <w:textAlignment w:val="center"/>
              <w:rPr>
                <w:rFonts w:ascii="仿宋" w:hAnsi="仿宋" w:cs="仿宋"/>
                <w:kern w:val="0"/>
                <w:sz w:val="21"/>
                <w:szCs w:val="21"/>
                <w:lang w:bidi="ar"/>
              </w:rPr>
            </w:pPr>
            <w:r>
              <w:rPr>
                <w:rFonts w:hint="eastAsia" w:ascii="仿宋" w:hAnsi="仿宋" w:cs="仿宋"/>
                <w:kern w:val="0"/>
                <w:sz w:val="21"/>
                <w:szCs w:val="21"/>
              </w:rPr>
              <w:t>单价（元/根）</w:t>
            </w:r>
          </w:p>
        </w:tc>
        <w:tc>
          <w:tcPr>
            <w:tcW w:w="1283" w:type="dxa"/>
            <w:tcBorders>
              <w:top w:val="single" w:color="000000" w:sz="4" w:space="0"/>
              <w:left w:val="single" w:color="auto" w:sz="4" w:space="0"/>
              <w:bottom w:val="single" w:color="000000" w:sz="4" w:space="0"/>
              <w:right w:val="single" w:color="000000" w:sz="4" w:space="0"/>
            </w:tcBorders>
            <w:vAlign w:val="center"/>
          </w:tcPr>
          <w:p>
            <w:pPr>
              <w:widowControl/>
              <w:spacing w:line="240" w:lineRule="auto"/>
              <w:ind w:firstLine="0" w:firstLineChars="0"/>
              <w:textAlignment w:val="center"/>
              <w:rPr>
                <w:rFonts w:ascii="仿宋" w:hAnsi="仿宋" w:cs="仿宋"/>
                <w:kern w:val="0"/>
                <w:sz w:val="21"/>
                <w:szCs w:val="21"/>
                <w:lang w:bidi="ar"/>
              </w:rPr>
            </w:pPr>
            <w:r>
              <w:rPr>
                <w:rFonts w:hint="eastAsia" w:ascii="仿宋" w:hAnsi="仿宋" w:cs="仿宋"/>
                <w:kern w:val="0"/>
                <w:sz w:val="21"/>
                <w:szCs w:val="21"/>
              </w:rPr>
              <w:t>小计（元）</w:t>
            </w:r>
          </w:p>
        </w:tc>
      </w:tr>
      <w:tr>
        <w:tblPrEx>
          <w:tblCellMar>
            <w:top w:w="0" w:type="dxa"/>
            <w:left w:w="108" w:type="dxa"/>
            <w:bottom w:w="0" w:type="dxa"/>
            <w:right w:w="108" w:type="dxa"/>
          </w:tblCellMar>
        </w:tblPrEx>
        <w:trPr>
          <w:trHeight w:val="221" w:hRule="atLeast"/>
          <w:jc w:val="center"/>
        </w:trPr>
        <w:tc>
          <w:tcPr>
            <w:tcW w:w="880" w:type="dxa"/>
            <w:vMerge w:val="restart"/>
            <w:tcBorders>
              <w:top w:val="single" w:color="000000" w:sz="4" w:space="0"/>
              <w:left w:val="single" w:color="000000" w:sz="4" w:space="0"/>
              <w:right w:val="single" w:color="000000" w:sz="4" w:space="0"/>
            </w:tcBorders>
            <w:vAlign w:val="center"/>
          </w:tcPr>
          <w:p>
            <w:pPr>
              <w:widowControl/>
              <w:spacing w:line="240" w:lineRule="auto"/>
              <w:ind w:firstLine="0" w:firstLineChars="0"/>
              <w:textAlignment w:val="center"/>
              <w:rPr>
                <w:rFonts w:ascii="仿宋" w:hAnsi="仿宋" w:cs="仿宋"/>
                <w:kern w:val="0"/>
                <w:sz w:val="21"/>
                <w:szCs w:val="21"/>
                <w:lang w:bidi="ar"/>
              </w:rPr>
            </w:pPr>
            <w:r>
              <w:rPr>
                <w:rFonts w:hint="eastAsia" w:ascii="仿宋" w:hAnsi="仿宋" w:cs="仿宋"/>
                <w:kern w:val="0"/>
                <w:sz w:val="21"/>
                <w:szCs w:val="21"/>
                <w:lang w:bidi="ar"/>
              </w:rPr>
              <w:t>软基处理部分</w:t>
            </w:r>
          </w:p>
        </w:tc>
        <w:tc>
          <w:tcPr>
            <w:tcW w:w="1329" w:type="dxa"/>
            <w:tcBorders>
              <w:top w:val="single" w:color="000000" w:sz="4" w:space="0"/>
              <w:left w:val="single" w:color="000000" w:sz="4" w:space="0"/>
              <w:bottom w:val="single" w:color="auto" w:sz="4" w:space="0"/>
              <w:right w:val="single" w:color="000000" w:sz="4" w:space="0"/>
            </w:tcBorders>
            <w:vAlign w:val="center"/>
          </w:tcPr>
          <w:p>
            <w:pPr>
              <w:widowControl/>
              <w:ind w:firstLine="0" w:firstLineChars="0"/>
              <w:textAlignment w:val="center"/>
              <w:rPr>
                <w:rFonts w:ascii="仿宋" w:hAnsi="仿宋" w:cs="仿宋"/>
                <w:kern w:val="0"/>
                <w:sz w:val="21"/>
                <w:szCs w:val="21"/>
                <w:lang w:bidi="ar"/>
              </w:rPr>
            </w:pPr>
            <w:r>
              <w:rPr>
                <w:rFonts w:hint="eastAsia" w:ascii="仿宋" w:hAnsi="仿宋" w:cs="仿宋"/>
                <w:color w:val="000000"/>
                <w:kern w:val="0"/>
                <w:sz w:val="21"/>
                <w:szCs w:val="21"/>
                <w:lang w:bidi="ar"/>
              </w:rPr>
              <w:t>单桩承载力</w:t>
            </w:r>
          </w:p>
        </w:tc>
        <w:tc>
          <w:tcPr>
            <w:tcW w:w="1059" w:type="dxa"/>
            <w:tcBorders>
              <w:top w:val="single" w:color="000000" w:sz="4" w:space="0"/>
              <w:left w:val="single" w:color="000000" w:sz="4" w:space="0"/>
              <w:bottom w:val="single" w:color="auto" w:sz="4" w:space="0"/>
              <w:right w:val="single" w:color="auto" w:sz="4" w:space="0"/>
            </w:tcBorders>
            <w:vAlign w:val="center"/>
          </w:tcPr>
          <w:p>
            <w:pPr>
              <w:widowControl/>
              <w:spacing w:line="240" w:lineRule="auto"/>
              <w:ind w:firstLine="0" w:firstLineChars="0"/>
              <w:jc w:val="center"/>
              <w:textAlignment w:val="center"/>
              <w:rPr>
                <w:rFonts w:ascii="仿宋" w:hAnsi="仿宋" w:cs="仿宋"/>
                <w:sz w:val="21"/>
                <w:szCs w:val="21"/>
              </w:rPr>
            </w:pPr>
            <w:r>
              <w:rPr>
                <w:rFonts w:hint="eastAsia" w:ascii="仿宋" w:hAnsi="仿宋" w:cs="仿宋"/>
                <w:kern w:val="0"/>
                <w:sz w:val="21"/>
                <w:szCs w:val="21"/>
                <w:lang w:bidi="ar"/>
              </w:rPr>
              <w:t>1.1.1</w:t>
            </w:r>
          </w:p>
        </w:tc>
        <w:tc>
          <w:tcPr>
            <w:tcW w:w="1005" w:type="dxa"/>
            <w:tcBorders>
              <w:top w:val="single" w:color="000000" w:sz="4" w:space="0"/>
              <w:left w:val="single" w:color="auto" w:sz="4" w:space="0"/>
              <w:bottom w:val="single" w:color="000000" w:sz="4" w:space="0"/>
              <w:right w:val="single" w:color="000000" w:sz="4" w:space="0"/>
            </w:tcBorders>
            <w:vAlign w:val="center"/>
          </w:tcPr>
          <w:p>
            <w:pPr>
              <w:widowControl/>
              <w:ind w:firstLine="0" w:firstLineChars="0"/>
              <w:jc w:val="center"/>
              <w:textAlignment w:val="center"/>
              <w:rPr>
                <w:rFonts w:ascii="仿宋" w:hAnsi="仿宋" w:cs="仿宋"/>
                <w:kern w:val="0"/>
                <w:sz w:val="21"/>
                <w:szCs w:val="21"/>
                <w:lang w:bidi="ar"/>
              </w:rPr>
            </w:pPr>
            <w:r>
              <w:rPr>
                <w:rFonts w:hint="eastAsia" w:ascii="仿宋" w:hAnsi="仿宋" w:cs="仿宋"/>
                <w:color w:val="000000"/>
                <w:kern w:val="0"/>
                <w:sz w:val="21"/>
                <w:szCs w:val="21"/>
                <w:lang w:bidi="ar"/>
              </w:rPr>
              <w:t>6</w:t>
            </w: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仿宋" w:hAnsi="仿宋" w:cs="仿宋"/>
                <w:sz w:val="21"/>
                <w:szCs w:val="21"/>
              </w:rPr>
            </w:pPr>
            <w:r>
              <w:rPr>
                <w:rFonts w:hint="eastAsia" w:ascii="仿宋" w:hAnsi="仿宋" w:cs="仿宋"/>
                <w:color w:val="000000"/>
                <w:kern w:val="0"/>
                <w:sz w:val="21"/>
                <w:szCs w:val="21"/>
                <w:lang w:bidi="ar"/>
              </w:rPr>
              <w:t>240</w:t>
            </w:r>
          </w:p>
        </w:tc>
        <w:tc>
          <w:tcPr>
            <w:tcW w:w="1169" w:type="dxa"/>
            <w:tcBorders>
              <w:top w:val="single" w:color="000000" w:sz="4" w:space="0"/>
              <w:left w:val="single" w:color="auto" w:sz="4" w:space="0"/>
              <w:bottom w:val="single" w:color="auto" w:sz="4" w:space="0"/>
              <w:right w:val="single" w:color="000000" w:sz="4" w:space="0"/>
            </w:tcBorders>
            <w:vAlign w:val="center"/>
          </w:tcPr>
          <w:p>
            <w:pPr>
              <w:widowControl/>
              <w:ind w:firstLine="420"/>
              <w:textAlignment w:val="center"/>
              <w:rPr>
                <w:rFonts w:ascii="仿宋" w:hAnsi="仿宋" w:cs="仿宋"/>
                <w:kern w:val="0"/>
                <w:sz w:val="21"/>
                <w:szCs w:val="21"/>
                <w:lang w:bidi="ar"/>
              </w:rPr>
            </w:pPr>
            <w:r>
              <w:rPr>
                <w:rFonts w:hint="eastAsia" w:ascii="仿宋" w:hAnsi="仿宋" w:cs="仿宋"/>
                <w:color w:val="000000"/>
                <w:kern w:val="0"/>
                <w:sz w:val="21"/>
                <w:szCs w:val="21"/>
                <w:lang w:bidi="ar"/>
              </w:rPr>
              <w:t>30</w:t>
            </w:r>
          </w:p>
        </w:tc>
        <w:tc>
          <w:tcPr>
            <w:tcW w:w="1213" w:type="dxa"/>
            <w:tcBorders>
              <w:top w:val="single" w:color="000000" w:sz="4" w:space="0"/>
              <w:left w:val="single" w:color="auto" w:sz="4" w:space="0"/>
              <w:bottom w:val="single" w:color="auto" w:sz="4" w:space="0"/>
              <w:right w:val="single" w:color="000000" w:sz="4" w:space="0"/>
            </w:tcBorders>
            <w:vAlign w:val="center"/>
          </w:tcPr>
          <w:p>
            <w:pPr>
              <w:widowControl/>
              <w:spacing w:line="240" w:lineRule="auto"/>
              <w:ind w:firstLine="0" w:firstLineChars="0"/>
              <w:jc w:val="center"/>
              <w:textAlignment w:val="center"/>
              <w:rPr>
                <w:rFonts w:ascii="仿宋" w:hAnsi="仿宋" w:cs="仿宋"/>
                <w:kern w:val="0"/>
                <w:sz w:val="21"/>
                <w:szCs w:val="21"/>
                <w:lang w:bidi="ar"/>
              </w:rPr>
            </w:pPr>
            <w:r>
              <w:rPr>
                <w:rFonts w:hint="eastAsia" w:ascii="仿宋" w:hAnsi="仿宋" w:cs="仿宋"/>
                <w:kern w:val="0"/>
                <w:sz w:val="21"/>
                <w:szCs w:val="21"/>
                <w:lang w:bidi="ar"/>
              </w:rPr>
              <w:t>6400</w:t>
            </w:r>
          </w:p>
        </w:tc>
        <w:tc>
          <w:tcPr>
            <w:tcW w:w="1283" w:type="dxa"/>
            <w:tcBorders>
              <w:top w:val="single" w:color="000000" w:sz="4" w:space="0"/>
              <w:left w:val="single" w:color="auto" w:sz="4" w:space="0"/>
              <w:bottom w:val="single" w:color="auto" w:sz="4" w:space="0"/>
              <w:right w:val="single" w:color="000000" w:sz="4" w:space="0"/>
            </w:tcBorders>
            <w:vAlign w:val="center"/>
          </w:tcPr>
          <w:p>
            <w:pPr>
              <w:widowControl/>
              <w:spacing w:line="240" w:lineRule="auto"/>
              <w:ind w:firstLine="0" w:firstLineChars="0"/>
              <w:jc w:val="center"/>
              <w:textAlignment w:val="center"/>
              <w:rPr>
                <w:rFonts w:ascii="仿宋" w:hAnsi="仿宋" w:cs="仿宋"/>
                <w:kern w:val="0"/>
                <w:sz w:val="21"/>
                <w:szCs w:val="21"/>
                <w:lang w:bidi="ar"/>
              </w:rPr>
            </w:pPr>
            <w:r>
              <w:rPr>
                <w:rFonts w:hint="eastAsia" w:ascii="仿宋" w:hAnsi="仿宋" w:cs="仿宋"/>
                <w:kern w:val="0"/>
                <w:sz w:val="21"/>
                <w:szCs w:val="21"/>
                <w:lang w:bidi="ar"/>
              </w:rPr>
              <w:t>38400</w:t>
            </w:r>
          </w:p>
        </w:tc>
      </w:tr>
      <w:tr>
        <w:tblPrEx>
          <w:tblCellMar>
            <w:top w:w="0" w:type="dxa"/>
            <w:left w:w="108" w:type="dxa"/>
            <w:bottom w:w="0" w:type="dxa"/>
            <w:right w:w="108" w:type="dxa"/>
          </w:tblCellMar>
        </w:tblPrEx>
        <w:trPr>
          <w:trHeight w:val="90" w:hRule="atLeast"/>
          <w:jc w:val="center"/>
        </w:trPr>
        <w:tc>
          <w:tcPr>
            <w:tcW w:w="880" w:type="dxa"/>
            <w:vMerge w:val="continue"/>
            <w:tcBorders>
              <w:left w:val="single" w:color="000000" w:sz="4" w:space="0"/>
              <w:bottom w:val="single" w:color="000000" w:sz="4" w:space="0"/>
              <w:right w:val="single" w:color="000000" w:sz="4" w:space="0"/>
            </w:tcBorders>
            <w:vAlign w:val="center"/>
          </w:tcPr>
          <w:p>
            <w:pPr>
              <w:widowControl/>
              <w:spacing w:line="240" w:lineRule="auto"/>
              <w:ind w:firstLine="420"/>
              <w:jc w:val="center"/>
              <w:textAlignment w:val="center"/>
              <w:rPr>
                <w:rFonts w:ascii="仿宋" w:hAnsi="仿宋" w:cs="仿宋"/>
                <w:kern w:val="0"/>
                <w:sz w:val="21"/>
                <w:szCs w:val="21"/>
                <w:lang w:bidi="ar"/>
              </w:rPr>
            </w:pPr>
          </w:p>
        </w:tc>
        <w:tc>
          <w:tcPr>
            <w:tcW w:w="1329" w:type="dxa"/>
            <w:tcBorders>
              <w:top w:val="single" w:color="auto" w:sz="4" w:space="0"/>
              <w:left w:val="single" w:color="000000" w:sz="4" w:space="0"/>
              <w:bottom w:val="single" w:color="000000" w:sz="4" w:space="0"/>
              <w:right w:val="single" w:color="000000" w:sz="4" w:space="0"/>
            </w:tcBorders>
            <w:vAlign w:val="center"/>
          </w:tcPr>
          <w:p>
            <w:pPr>
              <w:widowControl/>
              <w:ind w:firstLine="0" w:firstLineChars="0"/>
              <w:textAlignment w:val="center"/>
              <w:rPr>
                <w:rFonts w:ascii="仿宋" w:hAnsi="仿宋" w:cs="仿宋"/>
                <w:kern w:val="0"/>
                <w:sz w:val="21"/>
                <w:szCs w:val="21"/>
                <w:lang w:bidi="ar"/>
              </w:rPr>
            </w:pPr>
            <w:r>
              <w:rPr>
                <w:rFonts w:hint="eastAsia" w:ascii="仿宋" w:hAnsi="仿宋" w:cs="仿宋"/>
                <w:color w:val="000000"/>
                <w:kern w:val="0"/>
                <w:sz w:val="21"/>
                <w:szCs w:val="21"/>
                <w:lang w:bidi="ar"/>
              </w:rPr>
              <w:t>复合地基</w:t>
            </w:r>
          </w:p>
        </w:tc>
        <w:tc>
          <w:tcPr>
            <w:tcW w:w="1059" w:type="dxa"/>
            <w:tcBorders>
              <w:top w:val="single" w:color="auto" w:sz="4" w:space="0"/>
              <w:left w:val="single" w:color="000000" w:sz="4" w:space="0"/>
              <w:bottom w:val="single" w:color="000000" w:sz="4" w:space="0"/>
              <w:right w:val="single" w:color="auto" w:sz="4" w:space="0"/>
            </w:tcBorders>
            <w:vAlign w:val="center"/>
          </w:tcPr>
          <w:p>
            <w:pPr>
              <w:widowControl/>
              <w:spacing w:line="240" w:lineRule="auto"/>
              <w:ind w:firstLine="0" w:firstLineChars="0"/>
              <w:jc w:val="center"/>
              <w:textAlignment w:val="center"/>
              <w:rPr>
                <w:rFonts w:ascii="仿宋" w:hAnsi="仿宋" w:cs="仿宋"/>
                <w:kern w:val="0"/>
                <w:sz w:val="21"/>
                <w:szCs w:val="21"/>
                <w:lang w:bidi="ar"/>
              </w:rPr>
            </w:pPr>
            <w:r>
              <w:rPr>
                <w:rFonts w:hint="eastAsia" w:ascii="仿宋" w:hAnsi="仿宋" w:cs="仿宋"/>
                <w:kern w:val="0"/>
                <w:sz w:val="21"/>
                <w:szCs w:val="21"/>
                <w:lang w:bidi="ar"/>
              </w:rPr>
              <w:t>1.1.1</w:t>
            </w:r>
          </w:p>
        </w:tc>
        <w:tc>
          <w:tcPr>
            <w:tcW w:w="1005" w:type="dxa"/>
            <w:tcBorders>
              <w:top w:val="single" w:color="000000" w:sz="4" w:space="0"/>
              <w:left w:val="single" w:color="auto" w:sz="4" w:space="0"/>
              <w:bottom w:val="single" w:color="000000" w:sz="4" w:space="0"/>
              <w:right w:val="single" w:color="000000" w:sz="4" w:space="0"/>
            </w:tcBorders>
            <w:vAlign w:val="center"/>
          </w:tcPr>
          <w:p>
            <w:pPr>
              <w:widowControl/>
              <w:ind w:firstLine="0" w:firstLineChars="0"/>
              <w:jc w:val="center"/>
              <w:textAlignment w:val="center"/>
              <w:rPr>
                <w:rFonts w:ascii="仿宋" w:hAnsi="仿宋" w:cs="仿宋"/>
                <w:kern w:val="0"/>
                <w:sz w:val="21"/>
                <w:szCs w:val="21"/>
                <w:lang w:bidi="ar"/>
              </w:rPr>
            </w:pPr>
            <w:r>
              <w:rPr>
                <w:rFonts w:hint="eastAsia" w:ascii="仿宋" w:hAnsi="仿宋" w:cs="仿宋"/>
                <w:color w:val="000000"/>
                <w:kern w:val="0"/>
                <w:sz w:val="21"/>
                <w:szCs w:val="21"/>
                <w:lang w:bidi="ar"/>
              </w:rPr>
              <w:t>6</w:t>
            </w: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仿宋" w:hAnsi="仿宋" w:cs="仿宋"/>
                <w:kern w:val="0"/>
                <w:sz w:val="21"/>
                <w:szCs w:val="21"/>
                <w:lang w:bidi="ar"/>
              </w:rPr>
            </w:pPr>
            <w:r>
              <w:rPr>
                <w:rFonts w:hint="eastAsia" w:ascii="仿宋" w:hAnsi="仿宋" w:cs="仿宋"/>
                <w:color w:val="000000"/>
                <w:kern w:val="0"/>
                <w:sz w:val="21"/>
                <w:szCs w:val="21"/>
                <w:lang w:bidi="ar"/>
              </w:rPr>
              <w:t>363/484</w:t>
            </w:r>
          </w:p>
        </w:tc>
        <w:tc>
          <w:tcPr>
            <w:tcW w:w="1169" w:type="dxa"/>
            <w:tcBorders>
              <w:top w:val="single" w:color="auto" w:sz="4" w:space="0"/>
              <w:left w:val="single" w:color="auto" w:sz="4" w:space="0"/>
              <w:bottom w:val="single" w:color="000000" w:sz="4" w:space="0"/>
              <w:right w:val="single" w:color="000000" w:sz="4" w:space="0"/>
            </w:tcBorders>
            <w:vAlign w:val="center"/>
          </w:tcPr>
          <w:p>
            <w:pPr>
              <w:widowControl/>
              <w:ind w:firstLine="420"/>
              <w:textAlignment w:val="center"/>
              <w:rPr>
                <w:rFonts w:ascii="仿宋" w:hAnsi="仿宋" w:cs="仿宋"/>
                <w:kern w:val="0"/>
                <w:sz w:val="21"/>
                <w:szCs w:val="21"/>
                <w:lang w:bidi="ar"/>
              </w:rPr>
            </w:pPr>
            <w:r>
              <w:rPr>
                <w:rFonts w:hint="eastAsia" w:ascii="仿宋" w:hAnsi="仿宋" w:cs="仿宋"/>
                <w:color w:val="000000"/>
                <w:kern w:val="0"/>
                <w:sz w:val="21"/>
                <w:szCs w:val="21"/>
                <w:lang w:bidi="ar"/>
              </w:rPr>
              <w:t>60</w:t>
            </w:r>
          </w:p>
        </w:tc>
        <w:tc>
          <w:tcPr>
            <w:tcW w:w="1213" w:type="dxa"/>
            <w:tcBorders>
              <w:top w:val="single" w:color="auto" w:sz="4" w:space="0"/>
              <w:left w:val="single" w:color="auto" w:sz="4" w:space="0"/>
              <w:bottom w:val="single" w:color="000000" w:sz="4" w:space="0"/>
              <w:right w:val="single" w:color="000000" w:sz="4" w:space="0"/>
            </w:tcBorders>
            <w:vAlign w:val="center"/>
          </w:tcPr>
          <w:p>
            <w:pPr>
              <w:widowControl/>
              <w:spacing w:line="240" w:lineRule="auto"/>
              <w:ind w:firstLine="0" w:firstLineChars="0"/>
              <w:jc w:val="center"/>
              <w:textAlignment w:val="center"/>
              <w:rPr>
                <w:rFonts w:ascii="仿宋" w:hAnsi="仿宋" w:cs="仿宋"/>
                <w:kern w:val="0"/>
                <w:sz w:val="21"/>
                <w:szCs w:val="21"/>
                <w:lang w:bidi="ar"/>
              </w:rPr>
            </w:pPr>
            <w:r>
              <w:rPr>
                <w:rFonts w:hint="eastAsia" w:ascii="仿宋" w:hAnsi="仿宋" w:cs="仿宋"/>
                <w:kern w:val="0"/>
                <w:sz w:val="21"/>
                <w:szCs w:val="21"/>
                <w:lang w:bidi="ar"/>
              </w:rPr>
              <w:t>6400</w:t>
            </w:r>
          </w:p>
        </w:tc>
        <w:tc>
          <w:tcPr>
            <w:tcW w:w="1283" w:type="dxa"/>
            <w:tcBorders>
              <w:top w:val="single" w:color="auto" w:sz="4" w:space="0"/>
              <w:left w:val="single" w:color="auto" w:sz="4" w:space="0"/>
              <w:bottom w:val="single" w:color="000000" w:sz="4" w:space="0"/>
              <w:right w:val="single" w:color="000000" w:sz="4" w:space="0"/>
            </w:tcBorders>
            <w:vAlign w:val="center"/>
          </w:tcPr>
          <w:p>
            <w:pPr>
              <w:widowControl/>
              <w:spacing w:line="240" w:lineRule="auto"/>
              <w:ind w:firstLine="0" w:firstLineChars="0"/>
              <w:jc w:val="center"/>
              <w:textAlignment w:val="center"/>
              <w:rPr>
                <w:rFonts w:ascii="仿宋" w:hAnsi="仿宋" w:cs="仿宋"/>
                <w:kern w:val="0"/>
                <w:sz w:val="21"/>
                <w:szCs w:val="21"/>
                <w:lang w:bidi="ar"/>
              </w:rPr>
            </w:pPr>
            <w:r>
              <w:rPr>
                <w:rFonts w:hint="eastAsia" w:ascii="仿宋" w:hAnsi="仿宋" w:cs="仿宋"/>
                <w:kern w:val="0"/>
                <w:sz w:val="21"/>
                <w:szCs w:val="21"/>
                <w:lang w:bidi="ar"/>
              </w:rPr>
              <w:t>38400</w:t>
            </w:r>
          </w:p>
        </w:tc>
      </w:tr>
      <w:tr>
        <w:tblPrEx>
          <w:tblCellMar>
            <w:top w:w="0" w:type="dxa"/>
            <w:left w:w="108" w:type="dxa"/>
            <w:bottom w:w="0" w:type="dxa"/>
            <w:right w:w="108" w:type="dxa"/>
          </w:tblCellMar>
        </w:tblPrEx>
        <w:trPr>
          <w:trHeight w:val="90" w:hRule="atLeast"/>
          <w:jc w:val="center"/>
        </w:trPr>
        <w:tc>
          <w:tcPr>
            <w:tcW w:w="7660" w:type="dxa"/>
            <w:gridSpan w:val="7"/>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420"/>
              <w:jc w:val="center"/>
              <w:textAlignment w:val="center"/>
              <w:rPr>
                <w:rFonts w:ascii="仿宋" w:hAnsi="仿宋" w:cs="仿宋"/>
                <w:kern w:val="0"/>
                <w:sz w:val="21"/>
                <w:szCs w:val="21"/>
                <w:lang w:bidi="ar"/>
              </w:rPr>
            </w:pPr>
            <w:r>
              <w:rPr>
                <w:rFonts w:hint="eastAsia" w:ascii="仿宋" w:hAnsi="仿宋" w:cs="仿宋"/>
                <w:kern w:val="0"/>
                <w:sz w:val="21"/>
                <w:szCs w:val="21"/>
              </w:rPr>
              <w:t>基桩竖向抗压静载荷试验实物工作费合计（38400+38400）</w:t>
            </w:r>
          </w:p>
        </w:tc>
        <w:tc>
          <w:tcPr>
            <w:tcW w:w="128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textAlignment w:val="center"/>
              <w:rPr>
                <w:rFonts w:ascii="仿宋" w:hAnsi="仿宋" w:cs="仿宋"/>
                <w:kern w:val="0"/>
                <w:sz w:val="21"/>
                <w:szCs w:val="21"/>
                <w:lang w:bidi="ar"/>
              </w:rPr>
            </w:pPr>
            <w:r>
              <w:rPr>
                <w:rFonts w:hint="eastAsia" w:ascii="仿宋" w:hAnsi="仿宋" w:cs="仿宋"/>
                <w:kern w:val="0"/>
                <w:sz w:val="21"/>
                <w:szCs w:val="21"/>
                <w:lang w:bidi="ar"/>
              </w:rPr>
              <w:t>76800.00</w:t>
            </w:r>
          </w:p>
        </w:tc>
      </w:tr>
      <w:tr>
        <w:tblPrEx>
          <w:tblCellMar>
            <w:top w:w="0" w:type="dxa"/>
            <w:left w:w="108" w:type="dxa"/>
            <w:bottom w:w="0" w:type="dxa"/>
            <w:right w:w="108" w:type="dxa"/>
          </w:tblCellMar>
        </w:tblPrEx>
        <w:trPr>
          <w:trHeight w:val="90" w:hRule="atLeast"/>
          <w:jc w:val="center"/>
        </w:trPr>
        <w:tc>
          <w:tcPr>
            <w:tcW w:w="7660" w:type="dxa"/>
            <w:gridSpan w:val="7"/>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420"/>
              <w:jc w:val="center"/>
              <w:textAlignment w:val="center"/>
              <w:rPr>
                <w:rFonts w:ascii="仿宋" w:hAnsi="仿宋" w:cs="仿宋"/>
                <w:kern w:val="0"/>
                <w:sz w:val="21"/>
                <w:szCs w:val="21"/>
              </w:rPr>
            </w:pPr>
            <w:r>
              <w:rPr>
                <w:rFonts w:hint="eastAsia" w:ascii="仿宋" w:hAnsi="仿宋" w:cs="仿宋"/>
                <w:kern w:val="0"/>
                <w:sz w:val="21"/>
                <w:szCs w:val="21"/>
              </w:rPr>
              <w:t>基桩竖向抗压静载荷试验技术工作费（22%）合计</w:t>
            </w:r>
            <w:r>
              <w:rPr>
                <w:rFonts w:hint="eastAsia" w:ascii="仿宋" w:hAnsi="仿宋" w:cs="仿宋"/>
                <w:kern w:val="0"/>
                <w:sz w:val="21"/>
                <w:szCs w:val="21"/>
                <w:lang w:bidi="ar"/>
              </w:rPr>
              <w:t>（76800*22%）</w:t>
            </w:r>
          </w:p>
        </w:tc>
        <w:tc>
          <w:tcPr>
            <w:tcW w:w="128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textAlignment w:val="center"/>
              <w:rPr>
                <w:rFonts w:ascii="仿宋" w:hAnsi="仿宋" w:cs="仿宋"/>
                <w:kern w:val="0"/>
                <w:sz w:val="21"/>
                <w:szCs w:val="21"/>
                <w:lang w:bidi="ar"/>
              </w:rPr>
            </w:pPr>
            <w:r>
              <w:rPr>
                <w:rFonts w:hint="eastAsia" w:ascii="仿宋" w:hAnsi="仿宋" w:cs="仿宋"/>
                <w:kern w:val="0"/>
                <w:sz w:val="21"/>
                <w:szCs w:val="21"/>
                <w:lang w:bidi="ar"/>
              </w:rPr>
              <w:t>16896.00</w:t>
            </w:r>
          </w:p>
        </w:tc>
      </w:tr>
      <w:tr>
        <w:tblPrEx>
          <w:tblCellMar>
            <w:top w:w="0" w:type="dxa"/>
            <w:left w:w="108" w:type="dxa"/>
            <w:bottom w:w="0" w:type="dxa"/>
            <w:right w:w="108" w:type="dxa"/>
          </w:tblCellMar>
        </w:tblPrEx>
        <w:trPr>
          <w:trHeight w:val="90" w:hRule="atLeast"/>
          <w:jc w:val="center"/>
        </w:trPr>
        <w:tc>
          <w:tcPr>
            <w:tcW w:w="7660" w:type="dxa"/>
            <w:gridSpan w:val="7"/>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仿宋" w:hAnsi="仿宋" w:cs="仿宋"/>
                <w:kern w:val="0"/>
                <w:sz w:val="22"/>
                <w:szCs w:val="22"/>
                <w:lang w:bidi="ar"/>
              </w:rPr>
            </w:pPr>
            <w:r>
              <w:rPr>
                <w:rFonts w:hint="eastAsia" w:ascii="仿宋" w:hAnsi="仿宋" w:cs="仿宋"/>
                <w:kern w:val="0"/>
                <w:sz w:val="21"/>
                <w:szCs w:val="21"/>
              </w:rPr>
              <w:t>基桩竖向抗压静载荷试验总费用</w:t>
            </w:r>
          </w:p>
        </w:tc>
        <w:tc>
          <w:tcPr>
            <w:tcW w:w="128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textAlignment w:val="bottom"/>
              <w:rPr>
                <w:rFonts w:ascii="仿宋" w:hAnsi="仿宋" w:cs="仿宋"/>
                <w:b/>
                <w:bCs/>
                <w:kern w:val="0"/>
                <w:sz w:val="21"/>
                <w:szCs w:val="21"/>
                <w:lang w:bidi="ar"/>
              </w:rPr>
            </w:pPr>
            <w:r>
              <w:rPr>
                <w:rFonts w:hint="eastAsia" w:ascii="仿宋" w:hAnsi="仿宋" w:cs="仿宋"/>
                <w:b/>
                <w:bCs/>
                <w:kern w:val="0"/>
                <w:sz w:val="21"/>
                <w:szCs w:val="21"/>
                <w:lang w:bidi="ar"/>
              </w:rPr>
              <w:t>93696.00</w:t>
            </w:r>
          </w:p>
        </w:tc>
      </w:tr>
      <w:tr>
        <w:tblPrEx>
          <w:tblCellMar>
            <w:top w:w="0" w:type="dxa"/>
            <w:left w:w="108" w:type="dxa"/>
            <w:bottom w:w="0" w:type="dxa"/>
            <w:right w:w="108" w:type="dxa"/>
          </w:tblCellMar>
        </w:tblPrEx>
        <w:trPr>
          <w:trHeight w:val="416" w:hRule="atLeast"/>
          <w:jc w:val="center"/>
        </w:trPr>
        <w:tc>
          <w:tcPr>
            <w:tcW w:w="8943" w:type="dxa"/>
            <w:gridSpan w:val="8"/>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注：1.按《建筑基桩检测技术规范》（JGJ106-2014），检测数量不应少于同一条件下桩基分项工程总桩数的1%，且不应少于3根；当总桩数小于50根时，检测数量不应少于2根；</w:t>
            </w:r>
          </w:p>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2.垂直静载试验加荷最大值参照该工程桩基说明计取,加荷最大值=特征值*2；</w:t>
            </w:r>
          </w:p>
          <w:p>
            <w:pPr>
              <w:widowControl/>
              <w:spacing w:line="240" w:lineRule="auto"/>
              <w:ind w:firstLine="0" w:firstLineChars="0"/>
              <w:jc w:val="left"/>
              <w:rPr>
                <w:rFonts w:ascii="仿宋" w:hAnsi="仿宋" w:cs="仿宋"/>
              </w:rPr>
            </w:pPr>
            <w:r>
              <w:rPr>
                <w:rFonts w:hint="eastAsia" w:ascii="仿宋" w:hAnsi="仿宋" w:cs="仿宋"/>
                <w:kern w:val="0"/>
                <w:sz w:val="21"/>
                <w:szCs w:val="21"/>
              </w:rPr>
              <w:t>3.试验数量以实际发生量为准。</w:t>
            </w:r>
          </w:p>
        </w:tc>
      </w:tr>
    </w:tbl>
    <w:p>
      <w:pPr>
        <w:pStyle w:val="36"/>
        <w:spacing w:line="540" w:lineRule="exact"/>
        <w:ind w:firstLine="640"/>
        <w:rPr>
          <w:rFonts w:ascii="仿宋" w:hAnsi="仿宋" w:cs="仿宋"/>
          <w:szCs w:val="21"/>
        </w:rPr>
      </w:pPr>
      <w:r>
        <w:rPr>
          <w:rFonts w:hint="eastAsia" w:ascii="仿宋" w:hAnsi="仿宋" w:cs="仿宋"/>
          <w:szCs w:val="21"/>
        </w:rPr>
        <w:t>2.</w:t>
      </w:r>
      <w:r>
        <w:rPr>
          <w:rFonts w:hint="eastAsia" w:ascii="仿宋" w:hAnsi="仿宋" w:cs="仿宋"/>
          <w:bCs/>
          <w:szCs w:val="32"/>
        </w:rPr>
        <w:t>静载试验平台吊装及运输</w:t>
      </w:r>
    </w:p>
    <w:tbl>
      <w:tblPr>
        <w:tblStyle w:val="18"/>
        <w:tblW w:w="8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1489"/>
        <w:gridCol w:w="1514"/>
        <w:gridCol w:w="795"/>
        <w:gridCol w:w="765"/>
        <w:gridCol w:w="738"/>
        <w:gridCol w:w="1057"/>
        <w:gridCol w:w="844"/>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710" w:type="dxa"/>
            <w:gridSpan w:val="9"/>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静载试验平台吊装及运输数量及费用表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963" w:type="dxa"/>
            <w:gridSpan w:val="2"/>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单元工程</w:t>
            </w:r>
          </w:p>
        </w:tc>
        <w:tc>
          <w:tcPr>
            <w:tcW w:w="1515" w:type="dxa"/>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检测项目</w:t>
            </w:r>
          </w:p>
        </w:tc>
        <w:tc>
          <w:tcPr>
            <w:tcW w:w="795" w:type="dxa"/>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检测项目序号</w:t>
            </w:r>
          </w:p>
        </w:tc>
        <w:tc>
          <w:tcPr>
            <w:tcW w:w="765" w:type="dxa"/>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试验数量（次）</w:t>
            </w:r>
          </w:p>
        </w:tc>
        <w:tc>
          <w:tcPr>
            <w:tcW w:w="738" w:type="dxa"/>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特征值(kN)</w:t>
            </w:r>
          </w:p>
        </w:tc>
        <w:tc>
          <w:tcPr>
            <w:tcW w:w="1058" w:type="dxa"/>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设备总吨位（吨）</w:t>
            </w:r>
          </w:p>
        </w:tc>
        <w:tc>
          <w:tcPr>
            <w:tcW w:w="844" w:type="dxa"/>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单价（元/次）</w:t>
            </w:r>
          </w:p>
        </w:tc>
        <w:tc>
          <w:tcPr>
            <w:tcW w:w="1032" w:type="dxa"/>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478"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静载试验</w:t>
            </w:r>
          </w:p>
        </w:tc>
        <w:tc>
          <w:tcPr>
            <w:tcW w:w="1485" w:type="dxa"/>
            <w:tcBorders>
              <w:tl2br w:val="nil"/>
              <w:tr2bl w:val="nil"/>
            </w:tcBorders>
            <w:shd w:val="clear" w:color="auto" w:fill="auto"/>
            <w:vAlign w:val="center"/>
          </w:tcPr>
          <w:p>
            <w:pPr>
              <w:widowControl/>
              <w:ind w:firstLine="0" w:firstLineChars="0"/>
              <w:textAlignment w:val="center"/>
              <w:rPr>
                <w:rFonts w:ascii="仿宋" w:hAnsi="仿宋" w:cs="仿宋"/>
                <w:kern w:val="0"/>
                <w:sz w:val="21"/>
                <w:szCs w:val="21"/>
              </w:rPr>
            </w:pPr>
            <w:r>
              <w:rPr>
                <w:rFonts w:hint="eastAsia" w:ascii="仿宋" w:hAnsi="仿宋" w:cs="仿宋"/>
                <w:color w:val="000000"/>
                <w:kern w:val="0"/>
                <w:sz w:val="21"/>
                <w:szCs w:val="21"/>
                <w:lang w:bidi="ar"/>
              </w:rPr>
              <w:t>单桩承载力</w:t>
            </w:r>
          </w:p>
        </w:tc>
        <w:tc>
          <w:tcPr>
            <w:tcW w:w="1515"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试验平台（配重及相关试验设备）吊装（安装、拆卸一次）</w:t>
            </w:r>
          </w:p>
        </w:tc>
        <w:tc>
          <w:tcPr>
            <w:tcW w:w="795"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color w:val="000000"/>
                <w:kern w:val="0"/>
                <w:sz w:val="21"/>
                <w:szCs w:val="21"/>
                <w:lang w:bidi="ar"/>
              </w:rPr>
              <w:t>1.3.4</w:t>
            </w:r>
          </w:p>
        </w:tc>
        <w:tc>
          <w:tcPr>
            <w:tcW w:w="765" w:type="dxa"/>
            <w:tcBorders>
              <w:tl2br w:val="nil"/>
              <w:tr2bl w:val="nil"/>
            </w:tcBorders>
            <w:shd w:val="clear" w:color="auto" w:fill="auto"/>
            <w:vAlign w:val="center"/>
          </w:tcPr>
          <w:p>
            <w:pPr>
              <w:widowControl/>
              <w:ind w:firstLine="0" w:firstLineChars="0"/>
              <w:jc w:val="center"/>
              <w:textAlignment w:val="center"/>
              <w:rPr>
                <w:rFonts w:ascii="仿宋" w:hAnsi="仿宋" w:cs="仿宋"/>
                <w:kern w:val="0"/>
                <w:sz w:val="21"/>
                <w:szCs w:val="21"/>
              </w:rPr>
            </w:pPr>
            <w:r>
              <w:rPr>
                <w:rFonts w:hint="eastAsia" w:ascii="仿宋" w:hAnsi="仿宋" w:cs="仿宋"/>
                <w:color w:val="000000"/>
                <w:kern w:val="0"/>
                <w:sz w:val="21"/>
                <w:szCs w:val="21"/>
                <w:lang w:bidi="ar"/>
              </w:rPr>
              <w:t>6</w:t>
            </w:r>
          </w:p>
        </w:tc>
        <w:tc>
          <w:tcPr>
            <w:tcW w:w="738" w:type="dxa"/>
            <w:tcBorders>
              <w:tl2br w:val="nil"/>
              <w:tr2bl w:val="nil"/>
            </w:tcBorders>
            <w:shd w:val="clear" w:color="auto" w:fill="auto"/>
            <w:vAlign w:val="center"/>
          </w:tcPr>
          <w:p>
            <w:pPr>
              <w:widowControl/>
              <w:ind w:firstLine="0" w:firstLineChars="0"/>
              <w:jc w:val="center"/>
              <w:textAlignment w:val="center"/>
              <w:rPr>
                <w:rFonts w:ascii="仿宋" w:hAnsi="仿宋" w:cs="仿宋"/>
                <w:kern w:val="0"/>
                <w:sz w:val="21"/>
                <w:szCs w:val="21"/>
              </w:rPr>
            </w:pPr>
            <w:r>
              <w:rPr>
                <w:rFonts w:hint="eastAsia" w:ascii="仿宋" w:hAnsi="仿宋" w:cs="仿宋"/>
                <w:color w:val="000000"/>
                <w:kern w:val="0"/>
                <w:sz w:val="21"/>
                <w:szCs w:val="21"/>
                <w:lang w:bidi="ar"/>
              </w:rPr>
              <w:t>240</w:t>
            </w:r>
          </w:p>
        </w:tc>
        <w:tc>
          <w:tcPr>
            <w:tcW w:w="1058" w:type="dxa"/>
            <w:tcBorders>
              <w:tl2br w:val="nil"/>
              <w:tr2bl w:val="nil"/>
            </w:tcBorders>
            <w:shd w:val="clear" w:color="auto" w:fill="auto"/>
            <w:vAlign w:val="center"/>
          </w:tcPr>
          <w:p>
            <w:pPr>
              <w:widowControl/>
              <w:ind w:firstLine="0" w:firstLineChars="0"/>
              <w:jc w:val="center"/>
              <w:textAlignment w:val="center"/>
              <w:rPr>
                <w:rFonts w:ascii="仿宋" w:hAnsi="仿宋" w:cs="仿宋"/>
                <w:kern w:val="0"/>
                <w:sz w:val="21"/>
                <w:szCs w:val="21"/>
              </w:rPr>
            </w:pPr>
            <w:r>
              <w:rPr>
                <w:rFonts w:hint="eastAsia" w:ascii="仿宋" w:hAnsi="仿宋" w:cs="仿宋"/>
                <w:color w:val="000000"/>
                <w:kern w:val="0"/>
                <w:sz w:val="21"/>
                <w:szCs w:val="21"/>
                <w:lang w:bidi="ar"/>
              </w:rPr>
              <w:t>30</w:t>
            </w:r>
          </w:p>
        </w:tc>
        <w:tc>
          <w:tcPr>
            <w:tcW w:w="844"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color w:val="000000"/>
                <w:kern w:val="0"/>
                <w:sz w:val="21"/>
                <w:szCs w:val="21"/>
                <w:lang w:bidi="ar"/>
              </w:rPr>
              <w:t>4300</w:t>
            </w:r>
          </w:p>
        </w:tc>
        <w:tc>
          <w:tcPr>
            <w:tcW w:w="1032" w:type="dxa"/>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78"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1485" w:type="dxa"/>
            <w:tcBorders>
              <w:tl2br w:val="nil"/>
              <w:tr2bl w:val="nil"/>
            </w:tcBorders>
            <w:shd w:val="clear" w:color="auto" w:fill="auto"/>
            <w:vAlign w:val="center"/>
          </w:tcPr>
          <w:p>
            <w:pPr>
              <w:widowControl/>
              <w:ind w:firstLine="0" w:firstLineChars="0"/>
              <w:textAlignment w:val="center"/>
              <w:rPr>
                <w:rFonts w:ascii="仿宋" w:hAnsi="仿宋" w:cs="仿宋"/>
                <w:kern w:val="0"/>
                <w:sz w:val="21"/>
                <w:szCs w:val="21"/>
              </w:rPr>
            </w:pPr>
            <w:r>
              <w:rPr>
                <w:rFonts w:hint="eastAsia" w:ascii="仿宋" w:hAnsi="仿宋" w:cs="仿宋"/>
                <w:color w:val="000000"/>
                <w:kern w:val="0"/>
                <w:sz w:val="21"/>
                <w:szCs w:val="21"/>
                <w:lang w:bidi="ar"/>
              </w:rPr>
              <w:t>复合地基</w:t>
            </w:r>
          </w:p>
        </w:tc>
        <w:tc>
          <w:tcPr>
            <w:tcW w:w="1515"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795"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765" w:type="dxa"/>
            <w:tcBorders>
              <w:tl2br w:val="nil"/>
              <w:tr2bl w:val="nil"/>
            </w:tcBorders>
            <w:shd w:val="clear" w:color="auto" w:fill="auto"/>
            <w:vAlign w:val="center"/>
          </w:tcPr>
          <w:p>
            <w:pPr>
              <w:widowControl/>
              <w:ind w:firstLine="0" w:firstLineChars="0"/>
              <w:jc w:val="center"/>
              <w:textAlignment w:val="center"/>
              <w:rPr>
                <w:rFonts w:ascii="仿宋" w:hAnsi="仿宋" w:cs="仿宋"/>
                <w:kern w:val="0"/>
                <w:sz w:val="21"/>
                <w:szCs w:val="21"/>
              </w:rPr>
            </w:pPr>
            <w:r>
              <w:rPr>
                <w:rFonts w:hint="eastAsia" w:ascii="仿宋" w:hAnsi="仿宋" w:cs="仿宋"/>
                <w:color w:val="000000"/>
                <w:kern w:val="0"/>
                <w:sz w:val="21"/>
                <w:szCs w:val="21"/>
                <w:lang w:bidi="ar"/>
              </w:rPr>
              <w:t>6</w:t>
            </w:r>
          </w:p>
        </w:tc>
        <w:tc>
          <w:tcPr>
            <w:tcW w:w="738" w:type="dxa"/>
            <w:tcBorders>
              <w:tl2br w:val="nil"/>
              <w:tr2bl w:val="nil"/>
            </w:tcBorders>
            <w:shd w:val="clear" w:color="auto" w:fill="auto"/>
            <w:vAlign w:val="center"/>
          </w:tcPr>
          <w:p>
            <w:pPr>
              <w:widowControl/>
              <w:ind w:firstLine="0" w:firstLineChars="0"/>
              <w:jc w:val="center"/>
              <w:textAlignment w:val="center"/>
              <w:rPr>
                <w:rFonts w:ascii="仿宋" w:hAnsi="仿宋" w:cs="仿宋"/>
                <w:kern w:val="0"/>
                <w:sz w:val="21"/>
                <w:szCs w:val="21"/>
              </w:rPr>
            </w:pPr>
            <w:r>
              <w:rPr>
                <w:rFonts w:hint="eastAsia" w:ascii="仿宋" w:hAnsi="仿宋" w:cs="仿宋"/>
                <w:color w:val="000000"/>
                <w:kern w:val="0"/>
                <w:sz w:val="21"/>
                <w:szCs w:val="21"/>
                <w:lang w:bidi="ar"/>
              </w:rPr>
              <w:t>363/484</w:t>
            </w:r>
          </w:p>
        </w:tc>
        <w:tc>
          <w:tcPr>
            <w:tcW w:w="1058" w:type="dxa"/>
            <w:tcBorders>
              <w:tl2br w:val="nil"/>
              <w:tr2bl w:val="nil"/>
            </w:tcBorders>
            <w:shd w:val="clear" w:color="auto" w:fill="auto"/>
            <w:vAlign w:val="center"/>
          </w:tcPr>
          <w:p>
            <w:pPr>
              <w:widowControl/>
              <w:ind w:firstLine="0" w:firstLineChars="0"/>
              <w:jc w:val="center"/>
              <w:textAlignment w:val="center"/>
              <w:rPr>
                <w:rFonts w:ascii="仿宋" w:hAnsi="仿宋" w:cs="仿宋"/>
                <w:kern w:val="0"/>
                <w:sz w:val="21"/>
                <w:szCs w:val="21"/>
              </w:rPr>
            </w:pPr>
            <w:r>
              <w:rPr>
                <w:rFonts w:hint="eastAsia" w:ascii="仿宋" w:hAnsi="仿宋" w:cs="仿宋"/>
                <w:color w:val="000000"/>
                <w:kern w:val="0"/>
                <w:sz w:val="21"/>
                <w:szCs w:val="21"/>
                <w:lang w:bidi="ar"/>
              </w:rPr>
              <w:t>60</w:t>
            </w:r>
          </w:p>
        </w:tc>
        <w:tc>
          <w:tcPr>
            <w:tcW w:w="844"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1032" w:type="dxa"/>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78"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1490" w:type="dxa"/>
            <w:tcBorders>
              <w:tl2br w:val="nil"/>
              <w:tr2bl w:val="nil"/>
            </w:tcBorders>
            <w:shd w:val="clear" w:color="auto" w:fill="auto"/>
            <w:vAlign w:val="center"/>
          </w:tcPr>
          <w:p>
            <w:pPr>
              <w:widowControl/>
              <w:ind w:firstLine="0" w:firstLineChars="0"/>
              <w:textAlignment w:val="center"/>
              <w:rPr>
                <w:rFonts w:ascii="仿宋" w:hAnsi="仿宋" w:cs="仿宋"/>
                <w:kern w:val="0"/>
                <w:sz w:val="21"/>
                <w:szCs w:val="21"/>
              </w:rPr>
            </w:pPr>
            <w:r>
              <w:rPr>
                <w:rFonts w:hint="eastAsia" w:ascii="仿宋" w:hAnsi="仿宋" w:cs="仿宋"/>
                <w:color w:val="000000"/>
                <w:kern w:val="0"/>
                <w:sz w:val="21"/>
                <w:szCs w:val="21"/>
                <w:lang w:bidi="ar"/>
              </w:rPr>
              <w:t>单桩承载力</w:t>
            </w:r>
          </w:p>
        </w:tc>
        <w:tc>
          <w:tcPr>
            <w:tcW w:w="1510"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运输费用</w:t>
            </w:r>
          </w:p>
        </w:tc>
        <w:tc>
          <w:tcPr>
            <w:tcW w:w="795"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color w:val="000000"/>
                <w:kern w:val="0"/>
                <w:sz w:val="21"/>
                <w:szCs w:val="21"/>
                <w:lang w:bidi="ar"/>
              </w:rPr>
              <w:t>1.3.5</w:t>
            </w:r>
          </w:p>
        </w:tc>
        <w:tc>
          <w:tcPr>
            <w:tcW w:w="765"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2</w:t>
            </w:r>
          </w:p>
        </w:tc>
        <w:tc>
          <w:tcPr>
            <w:tcW w:w="738"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rPr>
            </w:pPr>
            <w:r>
              <w:rPr>
                <w:rFonts w:hint="eastAsia" w:ascii="仿宋" w:hAnsi="仿宋" w:cs="仿宋"/>
              </w:rPr>
              <w:t>/</w:t>
            </w:r>
          </w:p>
        </w:tc>
        <w:tc>
          <w:tcPr>
            <w:tcW w:w="1058"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w:t>
            </w:r>
          </w:p>
        </w:tc>
        <w:tc>
          <w:tcPr>
            <w:tcW w:w="844"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rPr>
            </w:pPr>
            <w:r>
              <w:rPr>
                <w:rFonts w:hint="eastAsia" w:ascii="仿宋" w:hAnsi="仿宋" w:cs="仿宋"/>
                <w:color w:val="000000"/>
                <w:kern w:val="0"/>
                <w:sz w:val="21"/>
                <w:szCs w:val="21"/>
                <w:lang w:bidi="ar"/>
              </w:rPr>
              <w:t>12200</w:t>
            </w:r>
          </w:p>
        </w:tc>
        <w:tc>
          <w:tcPr>
            <w:tcW w:w="1032" w:type="dxa"/>
            <w:vMerge w:val="restart"/>
            <w:tcBorders>
              <w:tl2br w:val="nil"/>
              <w:tr2bl w:val="nil"/>
            </w:tcBorders>
            <w:shd w:val="clear" w:color="auto" w:fill="auto"/>
            <w:vAlign w:val="center"/>
          </w:tcPr>
          <w:p>
            <w:pPr>
              <w:widowControl/>
              <w:spacing w:line="240" w:lineRule="auto"/>
              <w:ind w:firstLine="0" w:firstLineChars="0"/>
              <w:jc w:val="center"/>
              <w:rPr>
                <w:rFonts w:ascii="仿宋" w:hAnsi="仿宋" w:cs="仿宋"/>
              </w:rPr>
            </w:pPr>
            <w:r>
              <w:rPr>
                <w:rFonts w:hint="eastAsia" w:ascii="仿宋" w:hAnsi="仿宋" w:cs="仿宋"/>
                <w:spacing w:val="-3"/>
                <w:sz w:val="21"/>
                <w:szCs w:val="21"/>
              </w:rPr>
              <w:t>24400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78"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1490" w:type="dxa"/>
            <w:tcBorders>
              <w:tl2br w:val="nil"/>
              <w:tr2bl w:val="nil"/>
            </w:tcBorders>
            <w:shd w:val="clear" w:color="auto" w:fill="auto"/>
            <w:vAlign w:val="center"/>
          </w:tcPr>
          <w:p>
            <w:pPr>
              <w:widowControl/>
              <w:ind w:firstLine="0" w:firstLineChars="0"/>
              <w:textAlignment w:val="center"/>
              <w:rPr>
                <w:rFonts w:ascii="仿宋" w:hAnsi="仿宋" w:cs="仿宋"/>
                <w:kern w:val="0"/>
                <w:sz w:val="21"/>
                <w:szCs w:val="21"/>
              </w:rPr>
            </w:pPr>
            <w:r>
              <w:rPr>
                <w:rFonts w:hint="eastAsia" w:ascii="仿宋" w:hAnsi="仿宋" w:cs="仿宋"/>
                <w:color w:val="000000"/>
                <w:kern w:val="0"/>
                <w:sz w:val="21"/>
                <w:szCs w:val="21"/>
                <w:lang w:bidi="ar"/>
              </w:rPr>
              <w:t>复合地基</w:t>
            </w:r>
          </w:p>
        </w:tc>
        <w:tc>
          <w:tcPr>
            <w:tcW w:w="1510"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795"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color w:val="000000"/>
                <w:kern w:val="0"/>
                <w:sz w:val="21"/>
                <w:szCs w:val="21"/>
                <w:lang w:bidi="ar"/>
              </w:rPr>
            </w:pPr>
          </w:p>
        </w:tc>
        <w:tc>
          <w:tcPr>
            <w:tcW w:w="765"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738"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rPr>
            </w:pPr>
          </w:p>
        </w:tc>
        <w:tc>
          <w:tcPr>
            <w:tcW w:w="1058"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p>
        </w:tc>
        <w:tc>
          <w:tcPr>
            <w:tcW w:w="844"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rPr>
            </w:pPr>
          </w:p>
        </w:tc>
        <w:tc>
          <w:tcPr>
            <w:tcW w:w="1032" w:type="dxa"/>
            <w:vMerge w:val="continue"/>
            <w:tcBorders>
              <w:tl2br w:val="nil"/>
              <w:tr2bl w:val="nil"/>
            </w:tcBorders>
            <w:shd w:val="clear" w:color="auto" w:fill="auto"/>
            <w:vAlign w:val="center"/>
          </w:tcPr>
          <w:p>
            <w:pPr>
              <w:widowControl/>
              <w:spacing w:line="240" w:lineRule="auto"/>
              <w:ind w:firstLine="0" w:firstLineChars="0"/>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834" w:type="dxa"/>
            <w:gridSpan w:val="7"/>
            <w:tcBorders>
              <w:tl2br w:val="nil"/>
              <w:tr2bl w:val="nil"/>
            </w:tcBorders>
            <w:shd w:val="clear" w:color="auto" w:fill="auto"/>
            <w:vAlign w:val="center"/>
          </w:tcPr>
          <w:p>
            <w:pPr>
              <w:widowControl/>
              <w:spacing w:line="240" w:lineRule="auto"/>
              <w:ind w:firstLine="0" w:firstLineChars="0"/>
              <w:jc w:val="center"/>
              <w:rPr>
                <w:rFonts w:ascii="仿宋" w:hAnsi="仿宋" w:cs="仿宋"/>
                <w:kern w:val="0"/>
                <w:sz w:val="21"/>
                <w:szCs w:val="21"/>
              </w:rPr>
            </w:pPr>
            <w:r>
              <w:rPr>
                <w:rFonts w:hint="eastAsia" w:ascii="仿宋" w:hAnsi="仿宋" w:cs="仿宋"/>
                <w:kern w:val="0"/>
                <w:sz w:val="21"/>
                <w:szCs w:val="21"/>
              </w:rPr>
              <w:t>静载试验平台吊装及运输费用合计（元）</w:t>
            </w:r>
          </w:p>
        </w:tc>
        <w:tc>
          <w:tcPr>
            <w:tcW w:w="1876" w:type="dxa"/>
            <w:gridSpan w:val="2"/>
            <w:tcBorders>
              <w:tl2br w:val="nil"/>
              <w:tr2bl w:val="nil"/>
            </w:tcBorders>
            <w:shd w:val="clear" w:color="auto" w:fill="auto"/>
            <w:vAlign w:val="center"/>
          </w:tcPr>
          <w:p>
            <w:pPr>
              <w:widowControl/>
              <w:spacing w:line="240" w:lineRule="auto"/>
              <w:ind w:firstLine="0" w:firstLineChars="0"/>
              <w:jc w:val="center"/>
              <w:rPr>
                <w:rFonts w:ascii="仿宋" w:hAnsi="仿宋" w:cs="仿宋"/>
                <w:b/>
                <w:bCs/>
                <w:kern w:val="0"/>
                <w:sz w:val="21"/>
                <w:szCs w:val="21"/>
              </w:rPr>
            </w:pPr>
            <w:r>
              <w:rPr>
                <w:rFonts w:hint="eastAsia" w:ascii="仿宋" w:hAnsi="仿宋" w:cs="仿宋"/>
                <w:b/>
                <w:bCs/>
                <w:kern w:val="0"/>
                <w:sz w:val="21"/>
                <w:szCs w:val="21"/>
              </w:rPr>
              <w:t>76000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8710" w:type="dxa"/>
            <w:gridSpan w:val="9"/>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注：1.按每个试验点依据设计图纸确定的设备总吨位，则设备总吨位=特征值*2（极限值系数）×1.2（安全系数）/10（重力系数约值）；</w:t>
            </w:r>
            <w:r>
              <w:rPr>
                <w:rFonts w:hint="eastAsia" w:ascii="仿宋" w:hAnsi="仿宋" w:cs="仿宋"/>
                <w:kern w:val="0"/>
                <w:sz w:val="21"/>
                <w:szCs w:val="21"/>
              </w:rPr>
              <w:br w:type="textWrapping"/>
            </w:r>
            <w:r>
              <w:rPr>
                <w:rFonts w:hint="eastAsia" w:ascii="仿宋" w:hAnsi="仿宋" w:cs="仿宋"/>
                <w:kern w:val="0"/>
                <w:sz w:val="21"/>
                <w:szCs w:val="21"/>
              </w:rPr>
              <w:t>2.以实际发生量为准。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8710" w:type="dxa"/>
            <w:gridSpan w:val="9"/>
            <w:tcBorders>
              <w:tl2br w:val="nil"/>
              <w:tr2bl w:val="nil"/>
            </w:tcBorders>
            <w:shd w:val="clear" w:color="auto" w:fill="auto"/>
            <w:vAlign w:val="center"/>
          </w:tcPr>
          <w:p>
            <w:pPr>
              <w:widowControl/>
              <w:spacing w:line="240" w:lineRule="auto"/>
              <w:ind w:firstLine="0" w:firstLineChars="0"/>
              <w:jc w:val="left"/>
              <w:rPr>
                <w:rFonts w:ascii="仿宋" w:hAnsi="仿宋" w:cs="仿宋"/>
                <w:kern w:val="0"/>
                <w:sz w:val="21"/>
                <w:szCs w:val="21"/>
              </w:rPr>
            </w:pPr>
            <w:r>
              <w:rPr>
                <w:rFonts w:hint="eastAsia" w:ascii="仿宋" w:hAnsi="仿宋" w:cs="仿宋"/>
                <w:kern w:val="0"/>
                <w:sz w:val="21"/>
                <w:szCs w:val="21"/>
              </w:rPr>
              <w:t>静载试验平台吊装及运输数量及费用表</w:t>
            </w:r>
          </w:p>
        </w:tc>
      </w:tr>
    </w:tbl>
    <w:p>
      <w:pPr>
        <w:ind w:left="4960" w:right="1280" w:hanging="4960" w:hangingChars="1550"/>
        <w:jc w:val="right"/>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FFFFFF" w:themeColor="background1"/>
                              <w:sz w:val="28"/>
                              <w:szCs w:val="28"/>
                              <w14:textFill>
                                <w14:solidFill>
                                  <w14:schemeClr w14:val="bg1"/>
                                </w14:solidFill>
                              </w14:textFill>
                            </w:rPr>
                            <w:t>—</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color w:val="FFFFFF" w:themeColor="background1"/>
                              <w:sz w:val="28"/>
                              <w:szCs w:val="28"/>
                              <w14:textFill>
                                <w14:solidFill>
                                  <w14:schemeClr w14:val="bg1"/>
                                </w14:solidFill>
                              </w14:textFill>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4"/>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FFFFFF" w:themeColor="background1"/>
                        <w:sz w:val="28"/>
                        <w:szCs w:val="28"/>
                        <w14:textFill>
                          <w14:solidFill>
                            <w14:schemeClr w14:val="bg1"/>
                          </w14:solidFill>
                        </w14:textFill>
                      </w:rPr>
                      <w:t>—</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color w:val="FFFFFF" w:themeColor="background1"/>
                        <w:sz w:val="28"/>
                        <w:szCs w:val="28"/>
                        <w14:textFill>
                          <w14:solidFill>
                            <w14:schemeClr w14:val="bg1"/>
                          </w14:solidFill>
                        </w14:textFill>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65C158"/>
    <w:multiLevelType w:val="multilevel"/>
    <w:tmpl w:val="E165C158"/>
    <w:lvl w:ilvl="0" w:tentative="0">
      <w:start w:val="1"/>
      <w:numFmt w:val="chineseCounting"/>
      <w:pStyle w:val="2"/>
      <w:suff w:val="nothing"/>
      <w:lvlText w:val="%1、"/>
      <w:lvlJc w:val="left"/>
      <w:pPr>
        <w:ind w:left="0" w:firstLine="0"/>
      </w:pPr>
      <w:rPr>
        <w:rFonts w:hint="eastAsia"/>
      </w:rPr>
    </w:lvl>
    <w:lvl w:ilvl="1" w:tentative="0">
      <w:start w:val="1"/>
      <w:numFmt w:val="chineseCounting"/>
      <w:suff w:val="nothing"/>
      <w:lvlText w:val="（%2）"/>
      <w:lvlJc w:val="left"/>
      <w:pPr>
        <w:tabs>
          <w:tab w:val="left" w:pos="0"/>
        </w:tabs>
        <w:ind w:left="2552" w:firstLine="0"/>
      </w:pPr>
      <w:rPr>
        <w:rFonts w:hint="eastAsia" w:eastAsia="仿宋_GB2312"/>
        <w:sz w:val="32"/>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3B7D78D0"/>
    <w:multiLevelType w:val="multilevel"/>
    <w:tmpl w:val="3B7D78D0"/>
    <w:lvl w:ilvl="0" w:tentative="0">
      <w:start w:val="1"/>
      <w:numFmt w:val="decimal"/>
      <w:lvlText w:val="%1."/>
      <w:lvlJc w:val="left"/>
      <w:pPr>
        <w:ind w:left="1050" w:hanging="420"/>
      </w:pPr>
      <w:rPr>
        <w:rFonts w:hint="default" w:ascii="仿宋" w:hAnsi="仿宋" w:eastAsia="仿宋" w:cs="仿宋"/>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lhYjUzOGJjNmFkMWRjOWVhNWUyMDljYWI5NjFlNzUifQ=="/>
  </w:docVars>
  <w:rsids>
    <w:rsidRoot w:val="574B5EB0"/>
    <w:rsid w:val="00000494"/>
    <w:rsid w:val="0001081E"/>
    <w:rsid w:val="00031FEC"/>
    <w:rsid w:val="00043C72"/>
    <w:rsid w:val="00061510"/>
    <w:rsid w:val="00084E45"/>
    <w:rsid w:val="000A7B99"/>
    <w:rsid w:val="000D06E3"/>
    <w:rsid w:val="000F7020"/>
    <w:rsid w:val="00100CED"/>
    <w:rsid w:val="00107BEA"/>
    <w:rsid w:val="00131753"/>
    <w:rsid w:val="00151F3A"/>
    <w:rsid w:val="00152919"/>
    <w:rsid w:val="00155E4B"/>
    <w:rsid w:val="0017386D"/>
    <w:rsid w:val="00255E99"/>
    <w:rsid w:val="00255FCF"/>
    <w:rsid w:val="00260C9D"/>
    <w:rsid w:val="002A44D8"/>
    <w:rsid w:val="002D4A20"/>
    <w:rsid w:val="00344BCC"/>
    <w:rsid w:val="00382DB8"/>
    <w:rsid w:val="00384CFD"/>
    <w:rsid w:val="003A2636"/>
    <w:rsid w:val="003C17A6"/>
    <w:rsid w:val="003C73AF"/>
    <w:rsid w:val="003D5AE8"/>
    <w:rsid w:val="003D6C3A"/>
    <w:rsid w:val="00401989"/>
    <w:rsid w:val="00442707"/>
    <w:rsid w:val="00472C8E"/>
    <w:rsid w:val="00476711"/>
    <w:rsid w:val="004C2975"/>
    <w:rsid w:val="0050136F"/>
    <w:rsid w:val="00504445"/>
    <w:rsid w:val="00542C65"/>
    <w:rsid w:val="00543CEE"/>
    <w:rsid w:val="00545776"/>
    <w:rsid w:val="0056323C"/>
    <w:rsid w:val="00573757"/>
    <w:rsid w:val="00580A90"/>
    <w:rsid w:val="00596A6D"/>
    <w:rsid w:val="005B7346"/>
    <w:rsid w:val="005D103F"/>
    <w:rsid w:val="005E25DE"/>
    <w:rsid w:val="005E4140"/>
    <w:rsid w:val="00642A1E"/>
    <w:rsid w:val="00657DC9"/>
    <w:rsid w:val="0067107C"/>
    <w:rsid w:val="006743E6"/>
    <w:rsid w:val="0068520E"/>
    <w:rsid w:val="0071278F"/>
    <w:rsid w:val="007141D8"/>
    <w:rsid w:val="00725816"/>
    <w:rsid w:val="00735CBC"/>
    <w:rsid w:val="007364C3"/>
    <w:rsid w:val="007C6F7D"/>
    <w:rsid w:val="007E689B"/>
    <w:rsid w:val="007F2239"/>
    <w:rsid w:val="007F4554"/>
    <w:rsid w:val="00807E0C"/>
    <w:rsid w:val="008260BF"/>
    <w:rsid w:val="00835B64"/>
    <w:rsid w:val="00844BD3"/>
    <w:rsid w:val="00887C1C"/>
    <w:rsid w:val="008B22E9"/>
    <w:rsid w:val="00967442"/>
    <w:rsid w:val="009C1737"/>
    <w:rsid w:val="009E1F01"/>
    <w:rsid w:val="009E6877"/>
    <w:rsid w:val="009F0764"/>
    <w:rsid w:val="00A05E13"/>
    <w:rsid w:val="00A246AE"/>
    <w:rsid w:val="00A407B5"/>
    <w:rsid w:val="00AA1074"/>
    <w:rsid w:val="00AF0C3D"/>
    <w:rsid w:val="00B02AD5"/>
    <w:rsid w:val="00BF0B82"/>
    <w:rsid w:val="00C422CA"/>
    <w:rsid w:val="00C54830"/>
    <w:rsid w:val="00C64A89"/>
    <w:rsid w:val="00CA6961"/>
    <w:rsid w:val="00CD7999"/>
    <w:rsid w:val="00CE137B"/>
    <w:rsid w:val="00CE6C74"/>
    <w:rsid w:val="00CF21D4"/>
    <w:rsid w:val="00CF27A4"/>
    <w:rsid w:val="00CF41D4"/>
    <w:rsid w:val="00D16384"/>
    <w:rsid w:val="00D33D81"/>
    <w:rsid w:val="00D64156"/>
    <w:rsid w:val="00DE29FF"/>
    <w:rsid w:val="00DE7490"/>
    <w:rsid w:val="00E063FA"/>
    <w:rsid w:val="00E333B7"/>
    <w:rsid w:val="00E4496B"/>
    <w:rsid w:val="00E94D6F"/>
    <w:rsid w:val="00EA2413"/>
    <w:rsid w:val="00EC1A68"/>
    <w:rsid w:val="00F10FE1"/>
    <w:rsid w:val="00F17799"/>
    <w:rsid w:val="00F319AF"/>
    <w:rsid w:val="00F33058"/>
    <w:rsid w:val="00F643D9"/>
    <w:rsid w:val="00F65747"/>
    <w:rsid w:val="00FA43AE"/>
    <w:rsid w:val="00FA47DC"/>
    <w:rsid w:val="00FC0814"/>
    <w:rsid w:val="028C0511"/>
    <w:rsid w:val="041D1DA8"/>
    <w:rsid w:val="04810E5A"/>
    <w:rsid w:val="06F23DF9"/>
    <w:rsid w:val="073D0CEA"/>
    <w:rsid w:val="07501A58"/>
    <w:rsid w:val="07610E7C"/>
    <w:rsid w:val="09A85F6B"/>
    <w:rsid w:val="0A960450"/>
    <w:rsid w:val="0AC86C42"/>
    <w:rsid w:val="0B110D8C"/>
    <w:rsid w:val="0C072CBF"/>
    <w:rsid w:val="0FEB699E"/>
    <w:rsid w:val="117D1B2C"/>
    <w:rsid w:val="119E2D8B"/>
    <w:rsid w:val="11EB7B59"/>
    <w:rsid w:val="126F644F"/>
    <w:rsid w:val="13ED2DC4"/>
    <w:rsid w:val="153F400A"/>
    <w:rsid w:val="1658493C"/>
    <w:rsid w:val="16E76A0E"/>
    <w:rsid w:val="17706C58"/>
    <w:rsid w:val="18490554"/>
    <w:rsid w:val="190B54A5"/>
    <w:rsid w:val="194010BF"/>
    <w:rsid w:val="1ADC6F49"/>
    <w:rsid w:val="1BB71FA0"/>
    <w:rsid w:val="1BD95D76"/>
    <w:rsid w:val="1DB258FB"/>
    <w:rsid w:val="1F122D30"/>
    <w:rsid w:val="22496494"/>
    <w:rsid w:val="23014C05"/>
    <w:rsid w:val="262F1244"/>
    <w:rsid w:val="270951FA"/>
    <w:rsid w:val="28616AD6"/>
    <w:rsid w:val="290215D3"/>
    <w:rsid w:val="2944442E"/>
    <w:rsid w:val="313203AC"/>
    <w:rsid w:val="335A484E"/>
    <w:rsid w:val="33D77590"/>
    <w:rsid w:val="33E034B1"/>
    <w:rsid w:val="3592207D"/>
    <w:rsid w:val="37E72250"/>
    <w:rsid w:val="3A394E6F"/>
    <w:rsid w:val="3BBC3BAB"/>
    <w:rsid w:val="3C6B50D7"/>
    <w:rsid w:val="4359242C"/>
    <w:rsid w:val="435E2DF5"/>
    <w:rsid w:val="438751EB"/>
    <w:rsid w:val="438C3F5E"/>
    <w:rsid w:val="43CE2ED5"/>
    <w:rsid w:val="43F336D9"/>
    <w:rsid w:val="44735770"/>
    <w:rsid w:val="457946AB"/>
    <w:rsid w:val="47084DF1"/>
    <w:rsid w:val="49DD7A20"/>
    <w:rsid w:val="4A1946C3"/>
    <w:rsid w:val="4D70515C"/>
    <w:rsid w:val="4E5D586F"/>
    <w:rsid w:val="4EF24BF5"/>
    <w:rsid w:val="4FBB7FCB"/>
    <w:rsid w:val="50503246"/>
    <w:rsid w:val="50F43794"/>
    <w:rsid w:val="53052C8B"/>
    <w:rsid w:val="548A7A71"/>
    <w:rsid w:val="574B5EB0"/>
    <w:rsid w:val="594A0C75"/>
    <w:rsid w:val="598B1EC2"/>
    <w:rsid w:val="5A004CDF"/>
    <w:rsid w:val="5AD455CA"/>
    <w:rsid w:val="5B891830"/>
    <w:rsid w:val="5C4F0418"/>
    <w:rsid w:val="5CA21D6B"/>
    <w:rsid w:val="5D1C02FB"/>
    <w:rsid w:val="5E734133"/>
    <w:rsid w:val="5F72442F"/>
    <w:rsid w:val="60A6604F"/>
    <w:rsid w:val="648D2C76"/>
    <w:rsid w:val="673F74C1"/>
    <w:rsid w:val="68784853"/>
    <w:rsid w:val="69250394"/>
    <w:rsid w:val="6A997170"/>
    <w:rsid w:val="6AE318F1"/>
    <w:rsid w:val="6C001DA9"/>
    <w:rsid w:val="6C376EFF"/>
    <w:rsid w:val="6C523D39"/>
    <w:rsid w:val="6C9D2ADA"/>
    <w:rsid w:val="6FFC10D9"/>
    <w:rsid w:val="70C422C2"/>
    <w:rsid w:val="7100212C"/>
    <w:rsid w:val="71315410"/>
    <w:rsid w:val="72077373"/>
    <w:rsid w:val="727043A6"/>
    <w:rsid w:val="74D06A2B"/>
    <w:rsid w:val="757F1917"/>
    <w:rsid w:val="77CD0E75"/>
    <w:rsid w:val="7A1B0D7F"/>
    <w:rsid w:val="7C6C0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ind w:firstLine="880" w:firstLineChars="200"/>
      <w:jc w:val="both"/>
    </w:pPr>
    <w:rPr>
      <w:rFonts w:ascii="仿宋_GB2312" w:hAnsi="仿宋_GB2312" w:eastAsia="仿宋" w:cstheme="minorBidi"/>
      <w:kern w:val="2"/>
      <w:sz w:val="32"/>
      <w:szCs w:val="24"/>
      <w:lang w:val="en-US" w:eastAsia="zh-CN" w:bidi="ar-SA"/>
    </w:rPr>
  </w:style>
  <w:style w:type="paragraph" w:styleId="2">
    <w:name w:val="heading 1"/>
    <w:basedOn w:val="1"/>
    <w:next w:val="1"/>
    <w:qFormat/>
    <w:uiPriority w:val="0"/>
    <w:pPr>
      <w:keepNext/>
      <w:keepLines/>
      <w:numPr>
        <w:ilvl w:val="0"/>
        <w:numId w:val="1"/>
      </w:numPr>
      <w:tabs>
        <w:tab w:val="left" w:pos="0"/>
      </w:tabs>
      <w:ind w:firstLine="640"/>
      <w:outlineLvl w:val="0"/>
    </w:pPr>
    <w:rPr>
      <w:rFonts w:ascii="黑体" w:hAnsi="黑体" w:eastAsia="黑体"/>
      <w:kern w:val="44"/>
    </w:rPr>
  </w:style>
  <w:style w:type="paragraph" w:styleId="3">
    <w:name w:val="heading 2"/>
    <w:basedOn w:val="1"/>
    <w:next w:val="1"/>
    <w:link w:val="30"/>
    <w:unhideWhenUsed/>
    <w:qFormat/>
    <w:uiPriority w:val="0"/>
    <w:pPr>
      <w:keepNext/>
      <w:keepLines/>
      <w:tabs>
        <w:tab w:val="left" w:pos="0"/>
      </w:tabs>
      <w:ind w:firstLine="0" w:firstLineChars="0"/>
      <w:outlineLvl w:val="1"/>
    </w:pPr>
    <w:rPr>
      <w:rFonts w:ascii="楷体_GB2312" w:hAnsi="楷体_GB2312" w:eastAsia="楷体_GB2312"/>
    </w:rPr>
  </w:style>
  <w:style w:type="paragraph" w:styleId="4">
    <w:name w:val="heading 3"/>
    <w:basedOn w:val="1"/>
    <w:next w:val="1"/>
    <w:link w:val="31"/>
    <w:unhideWhenUsed/>
    <w:qFormat/>
    <w:uiPriority w:val="0"/>
    <w:pPr>
      <w:keepNext/>
      <w:keepLines/>
      <w:numPr>
        <w:ilvl w:val="2"/>
        <w:numId w:val="1"/>
      </w:numPr>
      <w:ind w:firstLine="0" w:firstLineChars="0"/>
      <w:outlineLvl w:val="2"/>
    </w:pPr>
  </w:style>
  <w:style w:type="paragraph" w:styleId="5">
    <w:name w:val="heading 4"/>
    <w:basedOn w:val="1"/>
    <w:next w:val="1"/>
    <w:unhideWhenUsed/>
    <w:qFormat/>
    <w:uiPriority w:val="0"/>
    <w:pPr>
      <w:keepNext/>
      <w:keepLines/>
      <w:numPr>
        <w:ilvl w:val="3"/>
        <w:numId w:val="1"/>
      </w:numPr>
      <w:spacing w:before="280" w:after="290" w:line="372" w:lineRule="auto"/>
      <w:ind w:firstLine="0" w:firstLineChars="0"/>
      <w:outlineLvl w:val="3"/>
    </w:pPr>
    <w:rPr>
      <w:rFonts w:ascii="Arial" w:hAnsi="Arial" w:eastAsia="黑体"/>
      <w:b/>
      <w:sz w:val="28"/>
    </w:rPr>
  </w:style>
  <w:style w:type="paragraph" w:styleId="6">
    <w:name w:val="heading 5"/>
    <w:basedOn w:val="1"/>
    <w:next w:val="1"/>
    <w:unhideWhenUsed/>
    <w:qFormat/>
    <w:uiPriority w:val="0"/>
    <w:pPr>
      <w:keepNext/>
      <w:keepLines/>
      <w:numPr>
        <w:ilvl w:val="4"/>
        <w:numId w:val="1"/>
      </w:numPr>
      <w:spacing w:before="280" w:after="290" w:line="372" w:lineRule="auto"/>
      <w:ind w:firstLine="0" w:firstLineChars="0"/>
      <w:outlineLvl w:val="4"/>
    </w:pPr>
    <w:rPr>
      <w:b/>
      <w:sz w:val="28"/>
    </w:rPr>
  </w:style>
  <w:style w:type="paragraph" w:styleId="7">
    <w:name w:val="heading 6"/>
    <w:basedOn w:val="1"/>
    <w:next w:val="1"/>
    <w:unhideWhenUsed/>
    <w:qFormat/>
    <w:uiPriority w:val="0"/>
    <w:pPr>
      <w:keepNext/>
      <w:keepLines/>
      <w:numPr>
        <w:ilvl w:val="5"/>
        <w:numId w:val="1"/>
      </w:numPr>
      <w:spacing w:before="240" w:after="64" w:line="317" w:lineRule="auto"/>
      <w:ind w:firstLine="0" w:firstLineChars="0"/>
      <w:outlineLvl w:val="5"/>
    </w:pPr>
    <w:rPr>
      <w:rFonts w:ascii="Arial" w:hAnsi="Arial" w:eastAsia="黑体"/>
      <w:b/>
      <w:sz w:val="24"/>
    </w:rPr>
  </w:style>
  <w:style w:type="paragraph" w:styleId="8">
    <w:name w:val="heading 7"/>
    <w:basedOn w:val="1"/>
    <w:next w:val="1"/>
    <w:unhideWhenUsed/>
    <w:qFormat/>
    <w:uiPriority w:val="0"/>
    <w:pPr>
      <w:keepNext/>
      <w:keepLines/>
      <w:numPr>
        <w:ilvl w:val="6"/>
        <w:numId w:val="1"/>
      </w:numPr>
      <w:spacing w:before="240" w:after="64" w:line="317" w:lineRule="auto"/>
      <w:ind w:firstLine="0" w:firstLineChars="0"/>
      <w:outlineLvl w:val="6"/>
    </w:pPr>
    <w:rPr>
      <w:b/>
      <w:sz w:val="24"/>
    </w:rPr>
  </w:style>
  <w:style w:type="paragraph" w:styleId="9">
    <w:name w:val="heading 8"/>
    <w:basedOn w:val="1"/>
    <w:next w:val="1"/>
    <w:unhideWhenUsed/>
    <w:qFormat/>
    <w:uiPriority w:val="0"/>
    <w:pPr>
      <w:keepNext/>
      <w:keepLines/>
      <w:numPr>
        <w:ilvl w:val="7"/>
        <w:numId w:val="1"/>
      </w:numPr>
      <w:spacing w:before="240" w:after="64" w:line="317" w:lineRule="auto"/>
      <w:ind w:firstLine="0" w:firstLineChars="0"/>
      <w:outlineLvl w:val="7"/>
    </w:pPr>
    <w:rPr>
      <w:rFonts w:ascii="Arial" w:hAnsi="Arial" w:eastAsia="黑体"/>
      <w:sz w:val="24"/>
    </w:rPr>
  </w:style>
  <w:style w:type="paragraph" w:styleId="10">
    <w:name w:val="heading 9"/>
    <w:basedOn w:val="1"/>
    <w:next w:val="1"/>
    <w:unhideWhenUsed/>
    <w:qFormat/>
    <w:uiPriority w:val="0"/>
    <w:pPr>
      <w:keepNext/>
      <w:keepLines/>
      <w:numPr>
        <w:ilvl w:val="8"/>
        <w:numId w:val="1"/>
      </w:numPr>
      <w:spacing w:before="240" w:after="64" w:line="317" w:lineRule="auto"/>
      <w:ind w:firstLine="0" w:firstLineChars="0"/>
      <w:outlineLvl w:val="8"/>
    </w:pPr>
    <w:rPr>
      <w:rFonts w:ascii="Arial" w:hAnsi="Arial" w:eastAsia="黑体"/>
      <w:sz w:val="21"/>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annotation text"/>
    <w:basedOn w:val="1"/>
    <w:link w:val="32"/>
    <w:qFormat/>
    <w:uiPriority w:val="0"/>
    <w:pPr>
      <w:jc w:val="left"/>
    </w:pPr>
  </w:style>
  <w:style w:type="paragraph" w:styleId="13">
    <w:name w:val="Balloon Text"/>
    <w:basedOn w:val="1"/>
    <w:link w:val="34"/>
    <w:qFormat/>
    <w:uiPriority w:val="0"/>
    <w:pPr>
      <w:spacing w:line="240" w:lineRule="auto"/>
    </w:pPr>
    <w:rPr>
      <w:sz w:val="18"/>
      <w:szCs w:val="1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6">
    <w:name w:val="Title"/>
    <w:basedOn w:val="1"/>
    <w:qFormat/>
    <w:uiPriority w:val="0"/>
    <w:pPr>
      <w:ind w:firstLine="0" w:firstLineChars="0"/>
      <w:jc w:val="center"/>
      <w:outlineLvl w:val="0"/>
    </w:pPr>
    <w:rPr>
      <w:rFonts w:ascii="方正小标宋简体" w:hAnsi="方正小标宋简体" w:eastAsia="方正小标宋简体"/>
      <w:sz w:val="44"/>
    </w:rPr>
  </w:style>
  <w:style w:type="paragraph" w:styleId="17">
    <w:name w:val="annotation subject"/>
    <w:basedOn w:val="12"/>
    <w:next w:val="12"/>
    <w:link w:val="33"/>
    <w:qFormat/>
    <w:uiPriority w:val="0"/>
    <w:rPr>
      <w:b/>
      <w:bCs/>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annotation reference"/>
    <w:basedOn w:val="20"/>
    <w:qFormat/>
    <w:uiPriority w:val="0"/>
    <w:rPr>
      <w:sz w:val="21"/>
      <w:szCs w:val="21"/>
    </w:rPr>
  </w:style>
  <w:style w:type="paragraph" w:customStyle="1" w:styleId="22">
    <w:name w:val="表格文字"/>
    <w:basedOn w:val="1"/>
    <w:qFormat/>
    <w:uiPriority w:val="99"/>
    <w:pPr>
      <w:jc w:val="left"/>
    </w:pPr>
    <w:rPr>
      <w:bCs/>
      <w:spacing w:val="10"/>
      <w:kern w:val="0"/>
      <w:sz w:val="24"/>
    </w:rPr>
  </w:style>
  <w:style w:type="paragraph" w:customStyle="1" w:styleId="23">
    <w:name w:val="样式1"/>
    <w:basedOn w:val="16"/>
    <w:qFormat/>
    <w:uiPriority w:val="0"/>
    <w:rPr>
      <w:rFonts w:ascii="Arial" w:hAnsi="Arial"/>
    </w:rPr>
  </w:style>
  <w:style w:type="paragraph" w:customStyle="1" w:styleId="24">
    <w:name w:val="主标题"/>
    <w:basedOn w:val="16"/>
    <w:qFormat/>
    <w:uiPriority w:val="0"/>
    <w:rPr>
      <w:rFonts w:ascii="Arial" w:hAnsi="Arial"/>
    </w:rPr>
  </w:style>
  <w:style w:type="paragraph" w:customStyle="1" w:styleId="25">
    <w:name w:val="同行标题2"/>
    <w:basedOn w:val="3"/>
    <w:next w:val="1"/>
    <w:qFormat/>
    <w:uiPriority w:val="0"/>
    <w:pPr>
      <w:keepNext w:val="0"/>
      <w:keepLines w:val="0"/>
    </w:pPr>
    <w:rPr>
      <w:rFonts w:ascii="仿宋_GB2312" w:hAnsi="仿宋_GB2312" w:eastAsia="仿宋_GB2312"/>
    </w:rPr>
  </w:style>
  <w:style w:type="paragraph" w:customStyle="1" w:styleId="26">
    <w:name w:val="标题 2  同行"/>
    <w:basedOn w:val="3"/>
    <w:next w:val="1"/>
    <w:link w:val="29"/>
    <w:qFormat/>
    <w:uiPriority w:val="0"/>
    <w:pPr>
      <w:keepNext w:val="0"/>
      <w:keepLines w:val="0"/>
      <w:jc w:val="left"/>
    </w:pPr>
    <w:rPr>
      <w:rFonts w:ascii="仿宋_GB2312" w:hAnsi="仿宋_GB2312" w:eastAsia="仿宋_GB2312"/>
    </w:rPr>
  </w:style>
  <w:style w:type="paragraph" w:customStyle="1" w:styleId="27">
    <w:name w:val="表格"/>
    <w:basedOn w:val="1"/>
    <w:link w:val="28"/>
    <w:qFormat/>
    <w:uiPriority w:val="0"/>
    <w:pPr>
      <w:topLinePunct/>
      <w:spacing w:line="240" w:lineRule="auto"/>
      <w:ind w:firstLine="0" w:firstLineChars="0"/>
      <w:jc w:val="center"/>
    </w:pPr>
    <w:rPr>
      <w:rFonts w:ascii="宋体" w:hAnsi="宋体" w:eastAsia="宋体" w:cs="宋体"/>
      <w:sz w:val="21"/>
    </w:rPr>
  </w:style>
  <w:style w:type="character" w:customStyle="1" w:styleId="28">
    <w:name w:val="表格 Char"/>
    <w:link w:val="27"/>
    <w:qFormat/>
    <w:uiPriority w:val="0"/>
    <w:rPr>
      <w:rFonts w:ascii="宋体" w:hAnsi="宋体" w:eastAsia="宋体" w:cs="宋体"/>
      <w:sz w:val="21"/>
    </w:rPr>
  </w:style>
  <w:style w:type="character" w:customStyle="1" w:styleId="29">
    <w:name w:val="标题 2  同行 Char"/>
    <w:link w:val="26"/>
    <w:qFormat/>
    <w:uiPriority w:val="0"/>
    <w:rPr>
      <w:rFonts w:ascii="仿宋_GB2312" w:hAnsi="仿宋_GB2312" w:eastAsia="仿宋_GB2312"/>
    </w:rPr>
  </w:style>
  <w:style w:type="character" w:customStyle="1" w:styleId="30">
    <w:name w:val="标题 2 字符"/>
    <w:link w:val="3"/>
    <w:qFormat/>
    <w:uiPriority w:val="0"/>
    <w:rPr>
      <w:rFonts w:ascii="楷体_GB2312" w:hAnsi="楷体_GB2312" w:eastAsia="楷体_GB2312"/>
    </w:rPr>
  </w:style>
  <w:style w:type="character" w:customStyle="1" w:styleId="31">
    <w:name w:val="标题 3 字符"/>
    <w:link w:val="4"/>
    <w:qFormat/>
    <w:uiPriority w:val="0"/>
  </w:style>
  <w:style w:type="character" w:customStyle="1" w:styleId="32">
    <w:name w:val="批注文字 字符"/>
    <w:basedOn w:val="20"/>
    <w:link w:val="12"/>
    <w:qFormat/>
    <w:uiPriority w:val="0"/>
    <w:rPr>
      <w:rFonts w:ascii="仿宋_GB2312" w:hAnsi="仿宋_GB2312" w:eastAsia="仿宋" w:cstheme="minorBidi"/>
      <w:kern w:val="2"/>
      <w:sz w:val="32"/>
      <w:szCs w:val="24"/>
    </w:rPr>
  </w:style>
  <w:style w:type="character" w:customStyle="1" w:styleId="33">
    <w:name w:val="批注主题 字符"/>
    <w:basedOn w:val="32"/>
    <w:link w:val="17"/>
    <w:qFormat/>
    <w:uiPriority w:val="0"/>
    <w:rPr>
      <w:rFonts w:ascii="仿宋_GB2312" w:hAnsi="仿宋_GB2312" w:eastAsia="仿宋" w:cstheme="minorBidi"/>
      <w:b/>
      <w:bCs/>
      <w:kern w:val="2"/>
      <w:sz w:val="32"/>
      <w:szCs w:val="24"/>
    </w:rPr>
  </w:style>
  <w:style w:type="character" w:customStyle="1" w:styleId="34">
    <w:name w:val="批注框文本 字符"/>
    <w:basedOn w:val="20"/>
    <w:link w:val="13"/>
    <w:qFormat/>
    <w:uiPriority w:val="0"/>
    <w:rPr>
      <w:rFonts w:ascii="仿宋_GB2312" w:hAnsi="仿宋_GB2312" w:eastAsia="仿宋" w:cstheme="minorBidi"/>
      <w:kern w:val="2"/>
      <w:sz w:val="18"/>
      <w:szCs w:val="18"/>
    </w:rPr>
  </w:style>
  <w:style w:type="paragraph" w:customStyle="1" w:styleId="35">
    <w:name w:val="列出段落1"/>
    <w:basedOn w:val="1"/>
    <w:qFormat/>
    <w:uiPriority w:val="0"/>
    <w:pPr>
      <w:ind w:firstLine="420"/>
    </w:pPr>
  </w:style>
  <w:style w:type="paragraph" w:customStyle="1" w:styleId="36">
    <w:name w:val="列出段落2"/>
    <w:basedOn w:val="1"/>
    <w:qFormat/>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980</Words>
  <Characters>5590</Characters>
  <Lines>46</Lines>
  <Paragraphs>13</Paragraphs>
  <TotalTime>8</TotalTime>
  <ScaleCrop>false</ScaleCrop>
  <LinksUpToDate>false</LinksUpToDate>
  <CharactersWithSpaces>6557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2019-09-18T09:47:00Z</dcterms:created>
  <dc:creator>Administrator</dc:creator>
  <cp:lastModifiedBy>WPS_1663754552</cp:lastModifiedBy>
  <cp:lastPrinted>2023-10-09T01:50:00Z</cp:lastPrinted>
  <dcterms:modified xsi:type="dcterms:W3CDTF">2023-10-23T01:31:20Z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703E563DA2F542BAA0A7671322E65A72_13</vt:lpwstr>
  </property>
</Properties>
</file>