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AAF1E">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p>
    <w:p w14:paraId="510E6A63">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default" w:ascii="Times New Roman" w:hAnsi="仿宋" w:eastAsia="仿宋"/>
          <w:color w:val="auto"/>
          <w:sz w:val="32"/>
          <w:szCs w:val="32"/>
          <w:lang w:val="en-US" w:eastAsia="zh-CN"/>
        </w:rPr>
      </w:pPr>
    </w:p>
    <w:p w14:paraId="379DFD1E">
      <w:pPr>
        <w:spacing w:line="560" w:lineRule="exact"/>
        <w:jc w:val="center"/>
        <w:rPr>
          <w:rFonts w:hint="eastAsia" w:ascii="方正小标宋_GBK" w:eastAsia="方正小标宋_GBK"/>
          <w:color w:val="auto"/>
          <w:sz w:val="44"/>
          <w:szCs w:val="44"/>
          <w:lang w:eastAsia="zh-CN"/>
        </w:rPr>
      </w:pPr>
      <w:r>
        <w:rPr>
          <w:rFonts w:hint="eastAsia" w:ascii="方正小标宋_GBK" w:eastAsia="方正小标宋_GBK"/>
          <w:color w:val="auto"/>
          <w:sz w:val="44"/>
          <w:szCs w:val="44"/>
          <w:lang w:eastAsia="zh-CN"/>
        </w:rPr>
        <w:t>中马钦州产业园启动区青年公寓、标准厂房项目202</w:t>
      </w:r>
      <w:r>
        <w:rPr>
          <w:rFonts w:hint="eastAsia" w:ascii="方正小标宋_GBK" w:eastAsia="方正小标宋_GBK"/>
          <w:color w:val="auto"/>
          <w:sz w:val="44"/>
          <w:szCs w:val="44"/>
          <w:lang w:val="en-US" w:eastAsia="zh-CN"/>
        </w:rPr>
        <w:t>4</w:t>
      </w:r>
      <w:r>
        <w:rPr>
          <w:rFonts w:hint="eastAsia" w:ascii="方正小标宋_GBK" w:eastAsia="方正小标宋_GBK"/>
          <w:color w:val="auto"/>
          <w:sz w:val="44"/>
          <w:szCs w:val="44"/>
          <w:lang w:eastAsia="zh-CN"/>
        </w:rPr>
        <w:t>—202</w:t>
      </w:r>
      <w:r>
        <w:rPr>
          <w:rFonts w:hint="eastAsia" w:ascii="方正小标宋_GBK" w:eastAsia="方正小标宋_GBK"/>
          <w:color w:val="auto"/>
          <w:sz w:val="44"/>
          <w:szCs w:val="44"/>
          <w:lang w:val="en-US" w:eastAsia="zh-CN"/>
        </w:rPr>
        <w:t>5</w:t>
      </w:r>
      <w:r>
        <w:rPr>
          <w:rFonts w:hint="eastAsia" w:ascii="方正小标宋_GBK" w:eastAsia="方正小标宋_GBK"/>
          <w:color w:val="auto"/>
          <w:sz w:val="44"/>
          <w:szCs w:val="44"/>
          <w:lang w:eastAsia="zh-CN"/>
        </w:rPr>
        <w:t>年消防维保服务（</w:t>
      </w:r>
      <w:r>
        <w:rPr>
          <w:rFonts w:hint="eastAsia" w:ascii="方正小标宋_GBK" w:eastAsia="方正小标宋_GBK"/>
          <w:color w:val="auto"/>
          <w:sz w:val="44"/>
          <w:szCs w:val="44"/>
          <w:lang w:val="en-US" w:eastAsia="zh-CN"/>
        </w:rPr>
        <w:t>重</w:t>
      </w:r>
      <w:r>
        <w:rPr>
          <w:rFonts w:hint="eastAsia" w:ascii="方正小标宋_GBK" w:eastAsia="方正小标宋_GBK"/>
          <w:color w:val="auto"/>
          <w:sz w:val="44"/>
          <w:szCs w:val="44"/>
          <w:lang w:eastAsia="zh-CN"/>
        </w:rPr>
        <w:t>）</w:t>
      </w:r>
    </w:p>
    <w:p w14:paraId="47377637">
      <w:pPr>
        <w:spacing w:line="560" w:lineRule="exact"/>
        <w:jc w:val="center"/>
        <w:rPr>
          <w:rFonts w:hint="eastAsia" w:ascii="方正小标宋_GBK" w:eastAsia="方正小标宋_GBK"/>
          <w:color w:val="auto"/>
          <w:sz w:val="44"/>
          <w:szCs w:val="44"/>
        </w:rPr>
      </w:pPr>
      <w:r>
        <w:rPr>
          <w:rFonts w:hint="eastAsia" w:ascii="方正小标宋_GBK" w:eastAsia="方正小标宋_GBK"/>
          <w:color w:val="auto"/>
          <w:sz w:val="44"/>
          <w:szCs w:val="44"/>
        </w:rPr>
        <w:t>公开比选文件</w:t>
      </w:r>
    </w:p>
    <w:p w14:paraId="670C513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仿宋" w:eastAsia="仿宋"/>
          <w:color w:val="auto"/>
          <w:sz w:val="32"/>
          <w:szCs w:val="32"/>
        </w:rPr>
      </w:pPr>
    </w:p>
    <w:p w14:paraId="2654C93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
          <w:color w:val="auto"/>
          <w:sz w:val="32"/>
          <w:szCs w:val="32"/>
        </w:rPr>
      </w:pPr>
      <w:r>
        <w:rPr>
          <w:rFonts w:ascii="Times New Roman" w:hAnsi="仿宋" w:eastAsia="仿宋"/>
          <w:color w:val="auto"/>
          <w:sz w:val="32"/>
          <w:szCs w:val="32"/>
        </w:rPr>
        <w:t>我公司拟</w:t>
      </w:r>
      <w:r>
        <w:rPr>
          <w:rFonts w:hint="eastAsia" w:ascii="Times New Roman" w:hAnsi="仿宋" w:eastAsia="仿宋"/>
          <w:color w:val="auto"/>
          <w:sz w:val="32"/>
          <w:szCs w:val="32"/>
          <w:lang w:eastAsia="zh-CN"/>
        </w:rPr>
        <w:t>对中马钦州产业园区青年公寓及标准厂房项目202</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lang w:eastAsia="zh-CN"/>
        </w:rPr>
        <w:t>—202</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lang w:eastAsia="zh-CN"/>
        </w:rPr>
        <w:t>年消防维保服务（</w:t>
      </w:r>
      <w:r>
        <w:rPr>
          <w:rFonts w:hint="eastAsia" w:ascii="Times New Roman" w:hAnsi="仿宋" w:eastAsia="仿宋"/>
          <w:color w:val="auto"/>
          <w:sz w:val="32"/>
          <w:szCs w:val="32"/>
          <w:lang w:val="en-US" w:eastAsia="zh-CN"/>
        </w:rPr>
        <w:t>重</w:t>
      </w:r>
      <w:r>
        <w:rPr>
          <w:rFonts w:hint="eastAsia" w:ascii="Times New Roman" w:hAnsi="仿宋" w:eastAsia="仿宋"/>
          <w:color w:val="auto"/>
          <w:sz w:val="32"/>
          <w:szCs w:val="32"/>
          <w:lang w:eastAsia="zh-CN"/>
        </w:rPr>
        <w:t>）</w:t>
      </w:r>
      <w:r>
        <w:rPr>
          <w:rFonts w:ascii="Times New Roman" w:hAnsi="仿宋" w:eastAsia="仿宋"/>
          <w:color w:val="auto"/>
          <w:sz w:val="32"/>
          <w:szCs w:val="32"/>
        </w:rPr>
        <w:t>通过公开比选</w:t>
      </w:r>
      <w:r>
        <w:rPr>
          <w:rFonts w:hint="eastAsia" w:ascii="Times New Roman" w:hAnsi="仿宋" w:eastAsia="仿宋"/>
          <w:color w:val="auto"/>
          <w:sz w:val="32"/>
          <w:szCs w:val="32"/>
          <w:lang w:eastAsia="zh-CN"/>
        </w:rPr>
        <w:t>选择</w:t>
      </w:r>
      <w:r>
        <w:rPr>
          <w:rFonts w:hint="eastAsia" w:ascii="Times New Roman" w:hAnsi="仿宋" w:eastAsia="仿宋"/>
          <w:color w:val="auto"/>
          <w:sz w:val="32"/>
          <w:szCs w:val="32"/>
          <w:lang w:val="en-US" w:eastAsia="zh-CN"/>
        </w:rPr>
        <w:t>维保</w:t>
      </w:r>
      <w:r>
        <w:rPr>
          <w:rFonts w:hint="eastAsia" w:ascii="Times New Roman" w:hAnsi="仿宋" w:eastAsia="仿宋"/>
          <w:color w:val="auto"/>
          <w:sz w:val="32"/>
          <w:szCs w:val="32"/>
          <w:lang w:eastAsia="zh-CN"/>
        </w:rPr>
        <w:t>单位</w:t>
      </w:r>
      <w:r>
        <w:rPr>
          <w:rFonts w:ascii="Times New Roman" w:hAnsi="仿宋" w:eastAsia="仿宋"/>
          <w:color w:val="auto"/>
          <w:sz w:val="32"/>
          <w:szCs w:val="32"/>
        </w:rPr>
        <w:t>，具体事项如下：</w:t>
      </w:r>
    </w:p>
    <w:p w14:paraId="655BEEB7">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一、项目基本情况</w:t>
      </w:r>
    </w:p>
    <w:p w14:paraId="191FF540">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青年公寓建筑面积4</w:t>
      </w:r>
      <w:r>
        <w:rPr>
          <w:rFonts w:hint="eastAsia" w:ascii="Times New Roman" w:hAnsi="仿宋" w:eastAsia="仿宋" w:cs="Times New Roman"/>
          <w:color w:val="auto"/>
          <w:sz w:val="32"/>
          <w:szCs w:val="32"/>
          <w:lang w:val="en-US" w:eastAsia="zh-CN"/>
        </w:rPr>
        <w:t>8445.06平方米，</w:t>
      </w:r>
      <w:r>
        <w:rPr>
          <w:rFonts w:hint="eastAsia" w:ascii="Times New Roman" w:hAnsi="仿宋" w:eastAsia="仿宋"/>
          <w:color w:val="auto"/>
          <w:sz w:val="32"/>
          <w:szCs w:val="32"/>
          <w:lang w:val="en-US" w:eastAsia="zh-CN"/>
        </w:rPr>
        <w:t>标准厂房建筑面积140144.57平方米。</w:t>
      </w:r>
    </w:p>
    <w:p w14:paraId="10C7DB5F">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default" w:ascii="黑体" w:hAnsi="黑体" w:eastAsia="黑体"/>
          <w:color w:val="auto"/>
          <w:sz w:val="32"/>
          <w:szCs w:val="32"/>
          <w:lang w:val="en-US"/>
        </w:rPr>
      </w:pPr>
      <w:r>
        <w:rPr>
          <w:rFonts w:hint="eastAsia" w:ascii="Times New Roman" w:hAnsi="仿宋" w:eastAsia="仿宋"/>
          <w:color w:val="auto"/>
          <w:sz w:val="32"/>
          <w:szCs w:val="32"/>
          <w:lang w:val="en-US" w:eastAsia="zh-CN"/>
        </w:rPr>
        <w:t>消防维保服务的主要内容为：巡查、检测、维护、保养各类消防设施设备，免费更换200元及以下的配件。消防维保具体内容详见比选文件的合同附件。</w:t>
      </w:r>
    </w:p>
    <w:p w14:paraId="3A3D7E4C">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14:paraId="36363875">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（一）资格要求：</w:t>
      </w:r>
      <w:r>
        <w:rPr>
          <w:rFonts w:hint="eastAsia" w:ascii="Times New Roman" w:hAnsi="仿宋" w:eastAsia="仿宋"/>
          <w:color w:val="auto"/>
          <w:sz w:val="32"/>
          <w:szCs w:val="32"/>
          <w:lang w:eastAsia="zh-CN"/>
        </w:rPr>
        <w:t>报价人须具备中华人民共和国应急管理部文件应急【2019】88号《消防技术服务机构从业条件》的通知内的相关要求。同时报价人须是在“广西社会消防技术服务机构业务信息管理系统”网站（</w:t>
      </w:r>
      <w:r>
        <w:rPr>
          <w:rFonts w:hint="eastAsia" w:ascii="Times New Roman" w:hAnsi="仿宋" w:eastAsia="仿宋"/>
          <w:color w:val="auto"/>
          <w:sz w:val="32"/>
          <w:szCs w:val="32"/>
          <w:lang w:eastAsia="zh-CN"/>
        </w:rPr>
        <w:fldChar w:fldCharType="begin"/>
      </w:r>
      <w:r>
        <w:rPr>
          <w:rFonts w:hint="eastAsia" w:ascii="Times New Roman" w:hAnsi="仿宋" w:eastAsia="仿宋"/>
          <w:color w:val="auto"/>
          <w:sz w:val="32"/>
          <w:szCs w:val="32"/>
          <w:lang w:eastAsia="zh-CN"/>
        </w:rPr>
        <w:instrText xml:space="preserve"> HYPERLINK "http://jsfwjg.gx119.gov.cn/%EF%BC%89%E5%A4%87%E6%A1%88%E6%88%90%E5%8A%9F%E7%9A%84%E6%B6%88%E9%98%B2%E7%BB%B4%E6%8A%A4%E4%BF%9D%E5%85%BB%E6%A3%80%E6%B5%8B%E6%8A%80%E6%9C%AF%E6%9C%8D%E5%8A%A1%E6%9C%BA%E6%9E%84" \t "_blank" </w:instrText>
      </w:r>
      <w:r>
        <w:rPr>
          <w:rFonts w:hint="eastAsia" w:ascii="Times New Roman" w:hAnsi="仿宋" w:eastAsia="仿宋"/>
          <w:color w:val="auto"/>
          <w:sz w:val="32"/>
          <w:szCs w:val="32"/>
          <w:lang w:eastAsia="zh-CN"/>
        </w:rPr>
        <w:fldChar w:fldCharType="separate"/>
      </w:r>
      <w:r>
        <w:rPr>
          <w:rFonts w:hint="eastAsia" w:ascii="Times New Roman" w:hAnsi="仿宋" w:eastAsia="仿宋"/>
          <w:color w:val="auto"/>
          <w:sz w:val="32"/>
          <w:szCs w:val="32"/>
          <w:lang w:eastAsia="zh-CN"/>
        </w:rPr>
        <w:fldChar w:fldCharType="begin"/>
      </w:r>
      <w:r>
        <w:rPr>
          <w:rFonts w:hint="eastAsia" w:ascii="Times New Roman" w:hAnsi="仿宋" w:eastAsia="仿宋"/>
          <w:color w:val="auto"/>
          <w:sz w:val="32"/>
          <w:szCs w:val="32"/>
          <w:lang w:eastAsia="zh-CN"/>
        </w:rPr>
        <w:instrText xml:space="preserve"> HYPERLINK "http://aqjsfwjg.gx119.gov.cn/" \t "_blank" </w:instrText>
      </w:r>
      <w:r>
        <w:rPr>
          <w:rFonts w:hint="eastAsia" w:ascii="Times New Roman" w:hAnsi="仿宋" w:eastAsia="仿宋"/>
          <w:color w:val="auto"/>
          <w:sz w:val="32"/>
          <w:szCs w:val="32"/>
          <w:lang w:eastAsia="zh-CN"/>
        </w:rPr>
        <w:fldChar w:fldCharType="separate"/>
      </w:r>
      <w:r>
        <w:rPr>
          <w:rFonts w:hint="eastAsia" w:ascii="Times New Roman" w:hAnsi="仿宋" w:eastAsia="仿宋"/>
          <w:color w:val="auto"/>
          <w:sz w:val="32"/>
          <w:szCs w:val="32"/>
          <w:lang w:eastAsia="zh-CN"/>
        </w:rPr>
        <w:t>http://aqjsfwjg.gx119.gov.cn/</w:t>
      </w:r>
      <w:r>
        <w:rPr>
          <w:rFonts w:hint="eastAsia" w:ascii="Times New Roman" w:hAnsi="仿宋" w:eastAsia="仿宋"/>
          <w:color w:val="auto"/>
          <w:sz w:val="32"/>
          <w:szCs w:val="32"/>
          <w:lang w:eastAsia="zh-CN"/>
        </w:rPr>
        <w:fldChar w:fldCharType="end"/>
      </w:r>
      <w:r>
        <w:rPr>
          <w:rFonts w:hint="eastAsia" w:ascii="Times New Roman" w:hAnsi="仿宋" w:eastAsia="仿宋"/>
          <w:color w:val="auto"/>
          <w:sz w:val="32"/>
          <w:szCs w:val="32"/>
          <w:lang w:eastAsia="zh-CN"/>
        </w:rPr>
        <w:t>）备案成功的消防维护保养检测技术服务机构</w:t>
      </w:r>
      <w:r>
        <w:rPr>
          <w:rFonts w:hint="eastAsia" w:ascii="Times New Roman" w:hAnsi="仿宋" w:eastAsia="仿宋"/>
          <w:color w:val="auto"/>
          <w:sz w:val="32"/>
          <w:szCs w:val="32"/>
          <w:lang w:eastAsia="zh-CN"/>
        </w:rPr>
        <w:fldChar w:fldCharType="end"/>
      </w:r>
      <w:r>
        <w:rPr>
          <w:rFonts w:hint="eastAsia" w:ascii="Times New Roman" w:hAnsi="仿宋" w:eastAsia="仿宋"/>
          <w:color w:val="auto"/>
          <w:sz w:val="32"/>
          <w:szCs w:val="32"/>
          <w:lang w:eastAsia="zh-CN"/>
        </w:rPr>
        <w:t>。须提供真实有效的网页备案截图。</w:t>
      </w:r>
    </w:p>
    <w:p w14:paraId="319A9C65">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（二）业绩要求：维保单位</w:t>
      </w:r>
      <w:r>
        <w:rPr>
          <w:rFonts w:hint="eastAsia" w:ascii="Times New Roman" w:hAnsi="仿宋" w:eastAsia="仿宋"/>
          <w:color w:val="auto"/>
          <w:sz w:val="32"/>
          <w:szCs w:val="32"/>
        </w:rPr>
        <w:t>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承接的</w:t>
      </w:r>
      <w:r>
        <w:rPr>
          <w:rFonts w:hint="eastAsia" w:ascii="Times New Roman" w:hAnsi="仿宋" w:eastAsia="仿宋"/>
          <w:color w:val="auto"/>
          <w:sz w:val="32"/>
          <w:szCs w:val="32"/>
        </w:rPr>
        <w:t>类似</w:t>
      </w:r>
      <w:r>
        <w:rPr>
          <w:rFonts w:hint="eastAsia" w:ascii="Times New Roman" w:hAnsi="仿宋" w:eastAsia="仿宋"/>
          <w:color w:val="auto"/>
          <w:sz w:val="32"/>
          <w:szCs w:val="32"/>
          <w:lang w:eastAsia="zh-CN"/>
        </w:rPr>
        <w:t>维保服务</w:t>
      </w:r>
      <w:r>
        <w:rPr>
          <w:rFonts w:hint="eastAsia" w:ascii="Times New Roman" w:hAnsi="仿宋" w:eastAsia="仿宋"/>
          <w:color w:val="auto"/>
          <w:sz w:val="32"/>
          <w:szCs w:val="32"/>
        </w:rPr>
        <w:t>项目</w:t>
      </w:r>
      <w:r>
        <w:rPr>
          <w:rFonts w:hint="eastAsia" w:ascii="Times New Roman" w:hAnsi="仿宋" w:eastAsia="仿宋"/>
          <w:color w:val="auto"/>
          <w:sz w:val="32"/>
          <w:szCs w:val="32"/>
          <w:lang w:val="en-US" w:eastAsia="zh-CN"/>
        </w:rPr>
        <w:t>不少于2个，须附合同扫描件。</w:t>
      </w:r>
    </w:p>
    <w:p w14:paraId="3A6A583A">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Times New Roman" w:hAnsi="Times New Roman" w:eastAsia="仿宋"/>
          <w:color w:val="auto"/>
          <w:sz w:val="32"/>
          <w:szCs w:val="32"/>
          <w:highlight w:val="none"/>
          <w:lang w:val="en-US" w:eastAsia="zh-CN"/>
        </w:rPr>
      </w:pPr>
      <w:r>
        <w:rPr>
          <w:rFonts w:hint="eastAsia" w:ascii="Times New Roman" w:hAnsi="仿宋" w:eastAsia="仿宋"/>
          <w:color w:val="auto"/>
          <w:sz w:val="32"/>
          <w:szCs w:val="32"/>
          <w:lang w:val="en-US" w:eastAsia="zh-CN"/>
        </w:rPr>
        <w:t>（三）人员要求：</w:t>
      </w:r>
      <w:r>
        <w:rPr>
          <w:rFonts w:hint="eastAsia" w:ascii="Times New Roman" w:hAnsi="Times New Roman" w:eastAsia="仿宋"/>
          <w:color w:val="auto"/>
          <w:sz w:val="32"/>
          <w:szCs w:val="32"/>
          <w:highlight w:val="none"/>
          <w:lang w:eastAsia="zh-CN"/>
        </w:rPr>
        <w:t>拟投入</w:t>
      </w:r>
      <w:r>
        <w:rPr>
          <w:rFonts w:hint="eastAsia" w:ascii="Times New Roman" w:hAnsi="Times New Roman" w:eastAsia="仿宋"/>
          <w:color w:val="auto"/>
          <w:sz w:val="32"/>
          <w:szCs w:val="32"/>
          <w:highlight w:val="none"/>
          <w:lang w:val="en-US" w:eastAsia="zh-CN"/>
        </w:rPr>
        <w:t>本项目的维保</w:t>
      </w:r>
      <w:r>
        <w:rPr>
          <w:rFonts w:hint="eastAsia" w:ascii="Times New Roman" w:hAnsi="Times New Roman" w:eastAsia="仿宋"/>
          <w:color w:val="auto"/>
          <w:sz w:val="32"/>
          <w:szCs w:val="32"/>
          <w:highlight w:val="none"/>
          <w:lang w:eastAsia="zh-CN"/>
        </w:rPr>
        <w:t>人员须具备</w:t>
      </w:r>
      <w:r>
        <w:rPr>
          <w:rFonts w:hint="eastAsia" w:ascii="Times New Roman" w:hAnsi="Times New Roman" w:eastAsia="仿宋"/>
          <w:color w:val="auto"/>
          <w:sz w:val="32"/>
          <w:szCs w:val="32"/>
          <w:highlight w:val="none"/>
          <w:lang w:val="en-US" w:eastAsia="zh-CN"/>
        </w:rPr>
        <w:t>2年及以上</w:t>
      </w:r>
      <w:r>
        <w:rPr>
          <w:rFonts w:hint="eastAsia" w:ascii="Times New Roman" w:hAnsi="Times New Roman" w:eastAsia="仿宋"/>
          <w:color w:val="auto"/>
          <w:sz w:val="32"/>
          <w:szCs w:val="32"/>
          <w:highlight w:val="none"/>
          <w:lang w:eastAsia="zh-CN"/>
        </w:rPr>
        <w:t>消防维护保养经验，</w:t>
      </w:r>
      <w:r>
        <w:rPr>
          <w:rFonts w:hint="eastAsia" w:ascii="Times New Roman" w:hAnsi="Times New Roman" w:eastAsia="仿宋"/>
          <w:color w:val="auto"/>
          <w:sz w:val="32"/>
          <w:szCs w:val="32"/>
          <w:highlight w:val="none"/>
          <w:lang w:val="en-US" w:eastAsia="zh-CN"/>
        </w:rPr>
        <w:t>须提供人员简介及人员近三个月社保缴纳证明（如有驻场人员，需注明）。</w:t>
      </w:r>
    </w:p>
    <w:p w14:paraId="59DBE92A">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highlight w:val="none"/>
          <w:lang w:val="en-US" w:eastAsia="zh-CN"/>
        </w:rPr>
        <w:t>（四）服务质量要求：维保单位须提供24小时紧急消防设备设施维修服务。一般性故障，在2小时内排除修复完毕；较复杂的故障，在8小时内排除修复完毕；特殊情况应及时书面提出申请，并征得服务单位同意。</w:t>
      </w:r>
    </w:p>
    <w:p w14:paraId="4BE092FD">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三、比选须知</w:t>
      </w:r>
    </w:p>
    <w:p w14:paraId="4172A17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一</w:t>
      </w:r>
      <w:r>
        <w:rPr>
          <w:rFonts w:hint="eastAsia" w:ascii="Times New Roman" w:hAnsi="仿宋" w:eastAsia="仿宋"/>
          <w:color w:val="auto"/>
          <w:sz w:val="32"/>
          <w:szCs w:val="32"/>
        </w:rPr>
        <w:t>）比选采购范围：</w:t>
      </w:r>
      <w:r>
        <w:rPr>
          <w:rFonts w:hint="eastAsia" w:ascii="Times New Roman" w:hAnsi="仿宋" w:eastAsia="仿宋"/>
          <w:color w:val="auto"/>
          <w:sz w:val="32"/>
          <w:szCs w:val="32"/>
          <w:lang w:eastAsia="zh-CN"/>
        </w:rPr>
        <w:t>中马钦州产业园启动区青年公寓、标准厂房项目202</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lang w:eastAsia="zh-CN"/>
        </w:rPr>
        <w:t>—202</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lang w:eastAsia="zh-CN"/>
        </w:rPr>
        <w:t>年消防维保服务</w:t>
      </w:r>
      <w:r>
        <w:rPr>
          <w:rFonts w:hint="eastAsia" w:ascii="仿宋" w:hAnsi="仿宋" w:eastAsia="仿宋"/>
          <w:bCs/>
          <w:color w:val="auto"/>
          <w:sz w:val="32"/>
          <w:szCs w:val="32"/>
        </w:rPr>
        <w:t>。</w:t>
      </w:r>
    </w:p>
    <w:p w14:paraId="14D5274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（二）接收报价文件截止日期：至20</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lang w:eastAsia="zh-CN"/>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lang w:eastAsia="zh-CN"/>
        </w:rPr>
        <w:t>月</w:t>
      </w:r>
      <w:r>
        <w:rPr>
          <w:rFonts w:hint="eastAsia" w:ascii="Times New Roman" w:hAnsi="仿宋" w:eastAsia="仿宋"/>
          <w:color w:val="auto"/>
          <w:sz w:val="32"/>
          <w:szCs w:val="32"/>
          <w:lang w:val="en-US" w:eastAsia="zh-CN"/>
        </w:rPr>
        <w:t>10</w:t>
      </w:r>
      <w:r>
        <w:rPr>
          <w:rFonts w:hint="eastAsia" w:ascii="Times New Roman" w:hAnsi="仿宋" w:eastAsia="仿宋"/>
          <w:color w:val="auto"/>
          <w:sz w:val="32"/>
          <w:szCs w:val="32"/>
          <w:lang w:eastAsia="zh-CN"/>
        </w:rPr>
        <w:t>日1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lang w:eastAsia="zh-CN"/>
        </w:rPr>
        <w:t>:00止。</w:t>
      </w:r>
    </w:p>
    <w:p w14:paraId="34AD4BE0">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Times New Roman" w:hAnsi="仿宋" w:eastAsia="仿宋"/>
          <w:color w:val="auto"/>
          <w:sz w:val="32"/>
          <w:szCs w:val="32"/>
          <w:lang w:eastAsia="zh-CN"/>
        </w:rPr>
      </w:pPr>
      <w:r>
        <w:rPr>
          <w:rFonts w:ascii="Times New Roman" w:hAnsi="仿宋" w:eastAsia="仿宋"/>
          <w:color w:val="auto"/>
          <w:sz w:val="32"/>
          <w:szCs w:val="32"/>
        </w:rPr>
        <w:t>（三）</w:t>
      </w:r>
      <w:r>
        <w:rPr>
          <w:rFonts w:hint="eastAsia" w:ascii="Times New Roman" w:hAnsi="仿宋" w:eastAsia="仿宋"/>
          <w:color w:val="auto"/>
          <w:sz w:val="32"/>
          <w:szCs w:val="32"/>
        </w:rPr>
        <w:t>服务期限：1年</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暂定2024年8月16日—2025年8月15日，最终以通知的进场时间为准</w:t>
      </w:r>
      <w:r>
        <w:rPr>
          <w:rFonts w:hint="eastAsia" w:ascii="Times New Roman" w:hAnsi="仿宋" w:eastAsia="仿宋"/>
          <w:color w:val="auto"/>
          <w:sz w:val="32"/>
          <w:szCs w:val="32"/>
          <w:lang w:eastAsia="zh-CN"/>
        </w:rPr>
        <w:t>）。</w:t>
      </w:r>
    </w:p>
    <w:p w14:paraId="4A38A3B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rPr>
        <w:t>（四）预算控制价为：</w:t>
      </w:r>
      <w:r>
        <w:rPr>
          <w:rFonts w:hint="eastAsia" w:ascii="Times New Roman" w:hAnsi="仿宋" w:eastAsia="仿宋"/>
          <w:color w:val="auto"/>
          <w:sz w:val="32"/>
          <w:szCs w:val="32"/>
          <w:lang w:val="en-US" w:eastAsia="zh-CN"/>
        </w:rPr>
        <w:t>青年公寓项目预算控制价为5万元，标准厂房项目预算控制价为11万元</w:t>
      </w:r>
      <w:r>
        <w:rPr>
          <w:rFonts w:hint="eastAsia" w:ascii="Times New Roman" w:hAnsi="仿宋" w:eastAsia="仿宋"/>
          <w:color w:val="auto"/>
          <w:sz w:val="32"/>
          <w:szCs w:val="32"/>
          <w:lang w:eastAsia="zh-CN"/>
        </w:rPr>
        <w:t>。</w:t>
      </w:r>
    </w:p>
    <w:p w14:paraId="6D932BB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lang w:val="en-US" w:eastAsia="zh-CN"/>
        </w:rPr>
        <w:t>（五）履约保证金：</w:t>
      </w:r>
      <w:r>
        <w:rPr>
          <w:rFonts w:hint="eastAsia" w:ascii="仿宋" w:hAnsi="仿宋" w:eastAsia="仿宋"/>
          <w:color w:val="auto"/>
          <w:kern w:val="0"/>
          <w:sz w:val="30"/>
          <w:szCs w:val="30"/>
        </w:rPr>
        <w:t>合同总金额的</w:t>
      </w:r>
      <w:r>
        <w:rPr>
          <w:rFonts w:ascii="仿宋" w:hAnsi="仿宋" w:eastAsia="仿宋"/>
          <w:color w:val="auto"/>
          <w:kern w:val="0"/>
          <w:sz w:val="30"/>
          <w:szCs w:val="30"/>
          <w:u w:val="none"/>
        </w:rPr>
        <w:t>5%</w:t>
      </w:r>
      <w:r>
        <w:rPr>
          <w:rFonts w:hint="eastAsia" w:ascii="仿宋" w:hAnsi="仿宋" w:eastAsia="仿宋"/>
          <w:color w:val="auto"/>
          <w:kern w:val="0"/>
          <w:sz w:val="30"/>
          <w:szCs w:val="30"/>
          <w:u w:val="none"/>
          <w:lang w:eastAsia="zh-CN"/>
        </w:rPr>
        <w:t>（</w:t>
      </w:r>
      <w:r>
        <w:rPr>
          <w:rFonts w:hint="eastAsia" w:ascii="仿宋" w:hAnsi="仿宋" w:eastAsia="仿宋"/>
          <w:color w:val="auto"/>
          <w:kern w:val="0"/>
          <w:sz w:val="30"/>
          <w:szCs w:val="30"/>
        </w:rPr>
        <w:t>合同签订后</w:t>
      </w:r>
      <w:r>
        <w:rPr>
          <w:rFonts w:hint="eastAsia" w:ascii="仿宋" w:hAnsi="仿宋" w:eastAsia="仿宋"/>
          <w:color w:val="auto"/>
          <w:kern w:val="0"/>
          <w:sz w:val="30"/>
          <w:szCs w:val="30"/>
          <w:lang w:val="en-US" w:eastAsia="zh-CN"/>
        </w:rPr>
        <w:t>10</w:t>
      </w:r>
      <w:r>
        <w:rPr>
          <w:rFonts w:hint="eastAsia" w:ascii="仿宋" w:hAnsi="仿宋" w:eastAsia="仿宋"/>
          <w:color w:val="auto"/>
          <w:kern w:val="0"/>
          <w:sz w:val="30"/>
          <w:szCs w:val="30"/>
        </w:rPr>
        <w:t>日内</w:t>
      </w:r>
      <w:r>
        <w:rPr>
          <w:rFonts w:hint="eastAsia" w:ascii="仿宋" w:hAnsi="仿宋" w:eastAsia="仿宋"/>
          <w:color w:val="auto"/>
          <w:kern w:val="0"/>
          <w:sz w:val="30"/>
          <w:szCs w:val="30"/>
          <w:lang w:val="en-US" w:eastAsia="zh-CN"/>
        </w:rPr>
        <w:t>缴纳</w:t>
      </w:r>
      <w:r>
        <w:rPr>
          <w:rFonts w:hint="eastAsia" w:ascii="仿宋" w:hAnsi="仿宋" w:eastAsia="仿宋"/>
          <w:color w:val="auto"/>
          <w:kern w:val="0"/>
          <w:sz w:val="30"/>
          <w:szCs w:val="30"/>
          <w:u w:val="none"/>
          <w:lang w:eastAsia="zh-CN"/>
        </w:rPr>
        <w:t>）。</w:t>
      </w:r>
    </w:p>
    <w:p w14:paraId="4E9EA600">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仿宋" w:hAnsi="仿宋" w:eastAsia="仿宋" w:cs="仿宋"/>
          <w:color w:val="auto"/>
          <w:sz w:val="32"/>
          <w:szCs w:val="32"/>
          <w:lang w:val="en-US" w:eastAsia="zh-CN"/>
        </w:rPr>
        <w:t>（六）付款方式：详见比选文件附件合同。</w:t>
      </w:r>
    </w:p>
    <w:p w14:paraId="790664A6">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val="en-US" w:eastAsia="zh-CN"/>
        </w:rPr>
        <w:t>七</w:t>
      </w:r>
      <w:r>
        <w:rPr>
          <w:rFonts w:ascii="Times New Roman" w:hAnsi="仿宋" w:eastAsia="仿宋"/>
          <w:color w:val="auto"/>
          <w:sz w:val="32"/>
          <w:szCs w:val="32"/>
        </w:rPr>
        <w:t>）报价文件资料清单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b/>
          <w:bCs/>
          <w:color w:val="auto"/>
          <w:sz w:val="32"/>
          <w:szCs w:val="32"/>
        </w:rPr>
        <w:t>）</w:t>
      </w:r>
    </w:p>
    <w:p w14:paraId="31558C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14:paraId="1F84371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14:paraId="0BD5FD8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r>
        <w:rPr>
          <w:rFonts w:hint="eastAsia" w:ascii="Times New Roman" w:hAnsi="仿宋" w:eastAsia="仿宋"/>
          <w:color w:val="auto"/>
          <w:sz w:val="32"/>
          <w:szCs w:val="32"/>
          <w:lang w:eastAsia="zh-CN"/>
        </w:rPr>
        <w:t>真实有效的网页备案截图；</w:t>
      </w:r>
    </w:p>
    <w:p w14:paraId="1E947AF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val="en-US" w:eastAsia="zh-CN"/>
        </w:rPr>
        <w:t>分别</w:t>
      </w:r>
      <w:r>
        <w:rPr>
          <w:rFonts w:hint="eastAsia" w:ascii="Times New Roman" w:hAnsi="仿宋" w:eastAsia="仿宋"/>
          <w:color w:val="auto"/>
          <w:sz w:val="32"/>
          <w:szCs w:val="32"/>
        </w:rPr>
        <w:t>报</w:t>
      </w:r>
      <w:r>
        <w:rPr>
          <w:rFonts w:hint="eastAsia" w:ascii="Times New Roman" w:hAnsi="仿宋" w:eastAsia="仿宋"/>
          <w:color w:val="auto"/>
          <w:sz w:val="32"/>
          <w:szCs w:val="32"/>
          <w:lang w:eastAsia="zh-CN"/>
        </w:rPr>
        <w:t>青年公寓及标准厂房</w:t>
      </w:r>
      <w:r>
        <w:rPr>
          <w:rFonts w:hint="eastAsia" w:ascii="Times New Roman" w:hAnsi="仿宋" w:eastAsia="仿宋"/>
          <w:color w:val="auto"/>
          <w:sz w:val="32"/>
          <w:szCs w:val="32"/>
          <w:lang w:val="en-US" w:eastAsia="zh-CN"/>
        </w:rPr>
        <w:t>项目的维保费用</w:t>
      </w:r>
      <w:r>
        <w:rPr>
          <w:rFonts w:hint="eastAsia" w:ascii="Times New Roman" w:hAnsi="仿宋" w:eastAsia="仿宋"/>
          <w:color w:val="auto"/>
          <w:sz w:val="32"/>
          <w:szCs w:val="32"/>
          <w:lang w:eastAsia="zh-CN"/>
        </w:rPr>
        <w:t>（含税，税率为</w:t>
      </w:r>
      <w:r>
        <w:rPr>
          <w:rFonts w:hint="eastAsia" w:ascii="Times New Roman" w:hAnsi="仿宋" w:eastAsia="仿宋"/>
          <w:color w:val="auto"/>
          <w:sz w:val="32"/>
          <w:szCs w:val="32"/>
          <w:u w:val="single"/>
          <w:lang w:val="en-US" w:eastAsia="zh-CN"/>
        </w:rPr>
        <w:t xml:space="preserve">  </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lang w:eastAsia="zh-CN"/>
        </w:rPr>
        <w:t>），同时附报价单位联系人、联系方式、报价单位开户银行及账号等</w:t>
      </w:r>
      <w:r>
        <w:rPr>
          <w:rFonts w:hint="eastAsia" w:ascii="Times New Roman" w:hAnsi="仿宋" w:eastAsia="仿宋"/>
          <w:color w:val="auto"/>
          <w:sz w:val="32"/>
          <w:szCs w:val="32"/>
        </w:rPr>
        <w:t>）；</w:t>
      </w:r>
    </w:p>
    <w:p w14:paraId="4E802375">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第四章、</w:t>
      </w:r>
      <w:r>
        <w:rPr>
          <w:rFonts w:hint="eastAsia" w:ascii="Times New Roman" w:hAnsi="仿宋" w:eastAsia="仿宋"/>
          <w:color w:val="auto"/>
          <w:sz w:val="32"/>
          <w:szCs w:val="32"/>
          <w:lang w:val="en-US" w:eastAsia="zh-CN"/>
        </w:rPr>
        <w:t>维保单位</w:t>
      </w:r>
      <w:r>
        <w:rPr>
          <w:rFonts w:hint="eastAsia" w:ascii="Times New Roman" w:hAnsi="仿宋" w:eastAsia="仿宋"/>
          <w:color w:val="auto"/>
          <w:sz w:val="32"/>
          <w:szCs w:val="32"/>
        </w:rPr>
        <w:t>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承接的</w:t>
      </w:r>
      <w:r>
        <w:rPr>
          <w:rFonts w:hint="eastAsia" w:ascii="Times New Roman" w:hAnsi="仿宋" w:eastAsia="仿宋"/>
          <w:color w:val="auto"/>
          <w:sz w:val="32"/>
          <w:szCs w:val="32"/>
        </w:rPr>
        <w:t>类似</w:t>
      </w:r>
      <w:r>
        <w:rPr>
          <w:rFonts w:hint="eastAsia" w:ascii="Times New Roman" w:hAnsi="仿宋" w:eastAsia="仿宋"/>
          <w:color w:val="auto"/>
          <w:sz w:val="32"/>
          <w:szCs w:val="32"/>
          <w:lang w:eastAsia="zh-CN"/>
        </w:rPr>
        <w:t>维保服务</w:t>
      </w:r>
      <w:r>
        <w:rPr>
          <w:rFonts w:hint="eastAsia" w:ascii="Times New Roman" w:hAnsi="仿宋" w:eastAsia="仿宋"/>
          <w:color w:val="auto"/>
          <w:sz w:val="32"/>
          <w:szCs w:val="32"/>
        </w:rPr>
        <w:t>项目一览表，在一览表中注明合同名称、合作单位、合同金额</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（一览表后附合同</w:t>
      </w:r>
      <w:r>
        <w:rPr>
          <w:rFonts w:hint="eastAsia" w:ascii="Times New Roman" w:hAnsi="仿宋" w:eastAsia="仿宋"/>
          <w:color w:val="auto"/>
          <w:sz w:val="32"/>
          <w:szCs w:val="32"/>
          <w:lang w:eastAsia="zh-CN"/>
        </w:rPr>
        <w:t>扫描件</w:t>
      </w:r>
      <w:r>
        <w:rPr>
          <w:rFonts w:hint="eastAsia" w:ascii="Times New Roman" w:hAnsi="仿宋" w:eastAsia="仿宋"/>
          <w:color w:val="auto"/>
          <w:sz w:val="32"/>
          <w:szCs w:val="32"/>
        </w:rPr>
        <w:t>）；</w:t>
      </w:r>
    </w:p>
    <w:p w14:paraId="35571DF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Times New Roman" w:eastAsia="仿宋"/>
          <w:color w:val="auto"/>
          <w:sz w:val="32"/>
          <w:szCs w:val="32"/>
          <w:lang w:eastAsia="zh-CN"/>
        </w:rPr>
      </w:pPr>
      <w:r>
        <w:rPr>
          <w:rFonts w:hint="eastAsia" w:ascii="Times New Roman" w:hAnsi="仿宋" w:eastAsia="仿宋"/>
          <w:color w:val="auto"/>
          <w:sz w:val="32"/>
          <w:szCs w:val="32"/>
          <w:lang w:eastAsia="zh-CN"/>
        </w:rPr>
        <w:t>第五章、</w:t>
      </w:r>
      <w:r>
        <w:rPr>
          <w:rFonts w:hint="eastAsia" w:ascii="Times New Roman" w:hAnsi="仿宋" w:eastAsia="仿宋"/>
          <w:color w:val="auto"/>
          <w:sz w:val="32"/>
          <w:szCs w:val="32"/>
          <w:lang w:val="en-US" w:eastAsia="zh-CN"/>
        </w:rPr>
        <w:t>维保服务方案，内容包括</w:t>
      </w:r>
      <w:r>
        <w:rPr>
          <w:rFonts w:ascii="Times New Roman" w:hAnsi="Times New Roman" w:eastAsia="仿宋"/>
          <w:color w:val="auto"/>
          <w:sz w:val="32"/>
          <w:szCs w:val="32"/>
          <w:highlight w:val="none"/>
        </w:rPr>
        <w:t>拟投入</w:t>
      </w:r>
      <w:r>
        <w:rPr>
          <w:rFonts w:hint="eastAsia" w:ascii="Times New Roman" w:hAnsi="Times New Roman" w:eastAsia="仿宋"/>
          <w:color w:val="auto"/>
          <w:sz w:val="32"/>
          <w:szCs w:val="32"/>
          <w:highlight w:val="none"/>
          <w:lang w:val="en-US" w:eastAsia="zh-CN"/>
        </w:rPr>
        <w:t>人员计划，维保服务质量承诺书（</w:t>
      </w:r>
      <w:r>
        <w:rPr>
          <w:rFonts w:hint="eastAsia" w:ascii="Times New Roman" w:hAnsi="Times New Roman" w:eastAsia="仿宋"/>
          <w:color w:val="auto"/>
          <w:sz w:val="32"/>
          <w:szCs w:val="32"/>
          <w:lang w:val="en-US" w:eastAsia="zh-CN"/>
        </w:rPr>
        <w:t>维保服务质量承诺不得低于报价单位要求第（四）点“服务质量要求</w:t>
      </w:r>
      <w:r>
        <w:rPr>
          <w:rFonts w:hint="eastAsia" w:ascii="Times New Roman" w:hAnsi="Times New Roman" w:eastAsia="仿宋"/>
          <w:color w:val="auto"/>
          <w:sz w:val="32"/>
          <w:szCs w:val="32"/>
          <w:highlight w:val="none"/>
          <w:lang w:val="en-US" w:eastAsia="zh-CN"/>
        </w:rPr>
        <w:t>”）等。</w:t>
      </w:r>
    </w:p>
    <w:p w14:paraId="55900B08">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color w:val="auto"/>
          <w:sz w:val="32"/>
          <w:szCs w:val="32"/>
        </w:rPr>
      </w:pPr>
      <w:r>
        <w:rPr>
          <w:rFonts w:ascii="Times New Roman" w:hAnsi="Times New Roman" w:eastAsia="黑体"/>
          <w:color w:val="auto"/>
          <w:sz w:val="32"/>
          <w:szCs w:val="32"/>
        </w:rPr>
        <w:t> </w:t>
      </w:r>
      <w:r>
        <w:rPr>
          <w:rFonts w:hint="eastAsia" w:ascii="黑体" w:hAnsi="黑体" w:eastAsia="黑体"/>
          <w:color w:val="auto"/>
          <w:sz w:val="32"/>
          <w:szCs w:val="32"/>
        </w:rPr>
        <w:t>四</w:t>
      </w:r>
      <w:r>
        <w:rPr>
          <w:rFonts w:ascii="黑体" w:hAnsi="黑体" w:eastAsia="黑体"/>
          <w:color w:val="auto"/>
          <w:sz w:val="32"/>
          <w:szCs w:val="32"/>
        </w:rPr>
        <w:t>、评审规则</w:t>
      </w:r>
    </w:p>
    <w:p w14:paraId="666B51D3">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14:paraId="6720A46C">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14:paraId="537F142B">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14:paraId="1C33EE91">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14:paraId="17D3ED0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14:paraId="6708E083">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14:paraId="27C80367">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14:paraId="06942113">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14:paraId="48B44EE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14:paraId="048C0BF6">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14:paraId="304C156A">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14:paraId="4E89D428">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14:paraId="348FC39D">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14:paraId="4F339998">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14:paraId="44B97125">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0E22840E">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14:paraId="1506ACD9">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5.存在其他违反采购公认原则及规定的行为。</w:t>
      </w:r>
    </w:p>
    <w:p w14:paraId="1C1D835E">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eastAsia="仿宋"/>
          <w:color w:val="auto"/>
          <w:sz w:val="32"/>
          <w:szCs w:val="32"/>
        </w:rPr>
      </w:pPr>
      <w:r>
        <w:rPr>
          <w:rFonts w:hint="eastAsia" w:eastAsia="黑体"/>
          <w:color w:val="auto"/>
          <w:sz w:val="32"/>
          <w:szCs w:val="32"/>
        </w:rPr>
        <w:t xml:space="preserve">    五</w:t>
      </w:r>
      <w:r>
        <w:rPr>
          <w:rFonts w:ascii="Times New Roman" w:hAnsi="Times New Roman" w:eastAsia="黑体"/>
          <w:color w:val="auto"/>
          <w:sz w:val="32"/>
          <w:szCs w:val="32"/>
        </w:rPr>
        <w:t>、评分办法</w:t>
      </w:r>
    </w:p>
    <w:p w14:paraId="32BA8871">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eastAsia="仿宋"/>
          <w:color w:val="auto"/>
          <w:sz w:val="32"/>
          <w:szCs w:val="32"/>
        </w:rPr>
      </w:pPr>
      <w:r>
        <w:rPr>
          <w:rFonts w:ascii="Times New Roman" w:hAnsi="Times New Roman" w:eastAsia="仿宋"/>
          <w:color w:val="auto"/>
          <w:sz w:val="32"/>
          <w:szCs w:val="32"/>
        </w:rPr>
        <w:t>本项目评审办法采用综合评分法，评委首先对</w:t>
      </w:r>
      <w:r>
        <w:rPr>
          <w:rFonts w:hint="eastAsia" w:eastAsia="仿宋"/>
          <w:color w:val="auto"/>
          <w:sz w:val="32"/>
          <w:szCs w:val="32"/>
        </w:rPr>
        <w:t>报价</w:t>
      </w:r>
      <w:r>
        <w:rPr>
          <w:rFonts w:ascii="Times New Roman" w:hAnsi="Times New Roman" w:eastAsia="仿宋"/>
          <w:color w:val="auto"/>
          <w:sz w:val="32"/>
          <w:szCs w:val="32"/>
        </w:rPr>
        <w:t>单位进行资格审查，然后对通过资格审查的</w:t>
      </w:r>
      <w:r>
        <w:rPr>
          <w:rFonts w:hint="eastAsia" w:eastAsia="仿宋"/>
          <w:color w:val="auto"/>
          <w:sz w:val="32"/>
          <w:szCs w:val="32"/>
        </w:rPr>
        <w:t>报价</w:t>
      </w:r>
      <w:r>
        <w:rPr>
          <w:rFonts w:ascii="Times New Roman" w:hAnsi="Times New Roman" w:eastAsia="仿宋"/>
          <w:color w:val="auto"/>
          <w:sz w:val="32"/>
          <w:szCs w:val="32"/>
        </w:rPr>
        <w:t>单位的报价、</w:t>
      </w:r>
      <w:r>
        <w:rPr>
          <w:rFonts w:hint="eastAsia" w:ascii="Times New Roman" w:hAnsi="Times New Roman" w:eastAsia="仿宋"/>
          <w:color w:val="auto"/>
          <w:sz w:val="32"/>
          <w:szCs w:val="32"/>
        </w:rPr>
        <w:t>业绩</w:t>
      </w:r>
      <w:r>
        <w:rPr>
          <w:rFonts w:ascii="Times New Roman" w:hAnsi="Times New Roman" w:eastAsia="仿宋"/>
          <w:color w:val="auto"/>
          <w:sz w:val="32"/>
          <w:szCs w:val="32"/>
        </w:rPr>
        <w:t>等方面按</w:t>
      </w:r>
      <w:r>
        <w:rPr>
          <w:rFonts w:hint="eastAsia" w:ascii="Times New Roman" w:hAnsi="Times New Roman" w:eastAsia="仿宋"/>
          <w:b/>
          <w:bCs/>
          <w:color w:val="auto"/>
          <w:sz w:val="32"/>
          <w:szCs w:val="32"/>
          <w:lang w:eastAsia="zh-CN"/>
        </w:rPr>
        <w:t>十</w:t>
      </w:r>
      <w:r>
        <w:rPr>
          <w:rFonts w:ascii="Times New Roman" w:hAnsi="Times New Roman" w:eastAsia="仿宋"/>
          <w:b/>
          <w:bCs/>
          <w:color w:val="auto"/>
          <w:sz w:val="32"/>
          <w:szCs w:val="32"/>
        </w:rPr>
        <w:t>分制</w:t>
      </w:r>
      <w:r>
        <w:rPr>
          <w:rFonts w:ascii="Times New Roman" w:hAnsi="Times New Roman" w:eastAsia="仿宋"/>
          <w:color w:val="auto"/>
          <w:sz w:val="32"/>
          <w:szCs w:val="32"/>
        </w:rPr>
        <w:t>进行评分。</w:t>
      </w:r>
    </w:p>
    <w:p w14:paraId="25B1AAA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一</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商务文件（权重</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分）</w:t>
      </w:r>
    </w:p>
    <w:p w14:paraId="5914A95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lang w:eastAsia="zh-CN"/>
        </w:rPr>
        <w:t>或</w:t>
      </w:r>
      <w:r>
        <w:rPr>
          <w:rFonts w:hint="eastAsia" w:ascii="Times New Roman" w:hAnsi="仿宋" w:eastAsia="仿宋"/>
          <w:color w:val="auto"/>
          <w:sz w:val="32"/>
          <w:szCs w:val="32"/>
        </w:rPr>
        <w:t>低于控制价80%的</w:t>
      </w:r>
      <w:r>
        <w:rPr>
          <w:rFonts w:hint="eastAsia" w:ascii="Times New Roman" w:hAnsi="仿宋" w:eastAsia="仿宋"/>
          <w:color w:val="auto"/>
          <w:sz w:val="32"/>
          <w:szCs w:val="32"/>
          <w:lang w:eastAsia="zh-CN"/>
        </w:rPr>
        <w:t>，均</w:t>
      </w:r>
      <w:r>
        <w:rPr>
          <w:rFonts w:hint="eastAsia" w:ascii="Times New Roman" w:hAnsi="仿宋" w:eastAsia="仿宋"/>
          <w:color w:val="auto"/>
          <w:sz w:val="32"/>
          <w:szCs w:val="32"/>
        </w:rPr>
        <w:t>作无效处理，评审按以下五个档进行：</w:t>
      </w:r>
    </w:p>
    <w:p w14:paraId="12982E9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6104311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2为</w:t>
      </w:r>
      <w:r>
        <w:rPr>
          <w:rFonts w:hint="eastAsia" w:ascii="Times New Roman" w:hAnsi="Times New Roman" w:eastAsia="仿宋"/>
          <w:color w:val="auto"/>
          <w:sz w:val="32"/>
          <w:szCs w:val="32"/>
          <w:lang w:val="en-US" w:eastAsia="zh-CN"/>
        </w:rPr>
        <w:t>合格</w:t>
      </w:r>
      <w:r>
        <w:rPr>
          <w:rFonts w:hint="eastAsia" w:ascii="Times New Roman" w:hAnsi="Times New Roman" w:eastAsia="仿宋"/>
          <w:color w:val="auto"/>
          <w:sz w:val="32"/>
          <w:szCs w:val="32"/>
        </w:rPr>
        <w:t>（得分为2/5*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5E52A62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3为</w:t>
      </w:r>
      <w:r>
        <w:rPr>
          <w:rFonts w:hint="eastAsia" w:ascii="Times New Roman" w:hAnsi="Times New Roman" w:eastAsia="仿宋"/>
          <w:color w:val="auto"/>
          <w:sz w:val="32"/>
          <w:szCs w:val="32"/>
          <w:lang w:val="en-US" w:eastAsia="zh-CN"/>
        </w:rPr>
        <w:t>一般</w:t>
      </w:r>
      <w:r>
        <w:rPr>
          <w:rFonts w:hint="eastAsia" w:ascii="Times New Roman" w:hAnsi="Times New Roman" w:eastAsia="仿宋"/>
          <w:color w:val="auto"/>
          <w:sz w:val="32"/>
          <w:szCs w:val="32"/>
        </w:rPr>
        <w:t>（得分为3/5*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32D6BBF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3BE533A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仿宋" w:eastAsia="仿宋"/>
          <w:color w:val="auto"/>
          <w:sz w:val="32"/>
          <w:szCs w:val="32"/>
        </w:rPr>
      </w:pPr>
      <w:r>
        <w:rPr>
          <w:rFonts w:hint="eastAsia" w:ascii="Times New Roman" w:hAnsi="Times New Roman" w:eastAsia="仿宋"/>
          <w:color w:val="auto"/>
          <w:sz w:val="32"/>
          <w:szCs w:val="32"/>
        </w:rPr>
        <w:t>5为优秀（得分为5/5*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7C1B339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二</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技术文件（权重</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分）</w:t>
      </w:r>
    </w:p>
    <w:p w14:paraId="366AE154">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ascii="Times New Roman" w:hAnsi="仿宋" w:eastAsia="仿宋"/>
          <w:color w:val="auto"/>
          <w:sz w:val="32"/>
          <w:szCs w:val="32"/>
        </w:rPr>
        <w:sectPr>
          <w:headerReference r:id="rId3" w:type="default"/>
          <w:footerReference r:id="rId4" w:type="default"/>
          <w:pgSz w:w="11906" w:h="16838"/>
          <w:pgMar w:top="2268" w:right="1361" w:bottom="2041" w:left="1474" w:header="851" w:footer="992" w:gutter="0"/>
          <w:pgNumType w:fmt="decimal"/>
          <w:cols w:space="0" w:num="1"/>
          <w:rtlGutter w:val="0"/>
          <w:docGrid w:type="lines" w:linePitch="321" w:charSpace="0"/>
        </w:sectPr>
      </w:pPr>
    </w:p>
    <w:tbl>
      <w:tblPr>
        <w:tblStyle w:val="9"/>
        <w:tblW w:w="9026"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885"/>
        <w:gridCol w:w="1867"/>
        <w:gridCol w:w="2314"/>
        <w:gridCol w:w="3330"/>
      </w:tblGrid>
      <w:tr w14:paraId="1645D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630" w:type="dxa"/>
            <w:vAlign w:val="center"/>
          </w:tcPr>
          <w:p w14:paraId="14003FA7">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885" w:type="dxa"/>
            <w:vAlign w:val="center"/>
          </w:tcPr>
          <w:p w14:paraId="224647BB">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14:paraId="2575CD23">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867" w:type="dxa"/>
            <w:vAlign w:val="center"/>
          </w:tcPr>
          <w:p w14:paraId="67AF1FCF">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314" w:type="dxa"/>
            <w:vAlign w:val="center"/>
          </w:tcPr>
          <w:p w14:paraId="12420EEE">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330" w:type="dxa"/>
            <w:vAlign w:val="center"/>
          </w:tcPr>
          <w:p w14:paraId="60C7F1E9">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14:paraId="0F223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2" w:hRule="atLeast"/>
        </w:trPr>
        <w:tc>
          <w:tcPr>
            <w:tcW w:w="630" w:type="dxa"/>
            <w:vAlign w:val="center"/>
          </w:tcPr>
          <w:p w14:paraId="31FAF932">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1</w:t>
            </w:r>
          </w:p>
        </w:tc>
        <w:tc>
          <w:tcPr>
            <w:tcW w:w="885" w:type="dxa"/>
            <w:vAlign w:val="center"/>
          </w:tcPr>
          <w:p w14:paraId="15FC90C6">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867" w:type="dxa"/>
            <w:vAlign w:val="center"/>
          </w:tcPr>
          <w:p w14:paraId="5C683DE5">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p>
          <w:p w14:paraId="0888D277">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tc>
        <w:tc>
          <w:tcPr>
            <w:tcW w:w="2314" w:type="dxa"/>
            <w:vAlign w:val="center"/>
          </w:tcPr>
          <w:p w14:paraId="2FB5A71A">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、项目规模</w:t>
            </w:r>
            <w:r>
              <w:rPr>
                <w:rFonts w:hint="eastAsia" w:ascii="仿宋" w:hAnsi="仿宋" w:eastAsia="仿宋" w:cs="仿宋"/>
                <w:color w:val="auto"/>
                <w:sz w:val="32"/>
                <w:szCs w:val="32"/>
              </w:rPr>
              <w:t>等方面进行横向对比评审，评审按五个档进行</w:t>
            </w:r>
          </w:p>
        </w:tc>
        <w:tc>
          <w:tcPr>
            <w:tcW w:w="3330" w:type="dxa"/>
            <w:vAlign w:val="center"/>
          </w:tcPr>
          <w:p w14:paraId="3834E439">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14:paraId="23DA6D10">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06CA5465">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2为</w:t>
            </w:r>
            <w:r>
              <w:rPr>
                <w:rFonts w:hint="eastAsia" w:ascii="仿宋" w:hAnsi="仿宋" w:eastAsia="仿宋" w:cs="仿宋"/>
                <w:color w:val="auto"/>
                <w:sz w:val="32"/>
                <w:szCs w:val="32"/>
                <w:lang w:val="en-US" w:eastAsia="zh-CN"/>
              </w:rPr>
              <w:t>合格</w:t>
            </w:r>
          </w:p>
          <w:p w14:paraId="084CF56F">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14B43399">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3为</w:t>
            </w:r>
            <w:r>
              <w:rPr>
                <w:rFonts w:hint="eastAsia" w:ascii="仿宋" w:hAnsi="仿宋" w:eastAsia="仿宋" w:cs="仿宋"/>
                <w:color w:val="auto"/>
                <w:sz w:val="32"/>
                <w:szCs w:val="32"/>
                <w:lang w:val="en-US" w:eastAsia="zh-CN"/>
              </w:rPr>
              <w:t>一般</w:t>
            </w:r>
          </w:p>
          <w:p w14:paraId="604BE682">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6580139E">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14:paraId="20FF23F1">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354CC1E7">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14:paraId="08932DCD">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tc>
      </w:tr>
      <w:tr w14:paraId="3F41A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3" w:hRule="atLeast"/>
        </w:trPr>
        <w:tc>
          <w:tcPr>
            <w:tcW w:w="630" w:type="dxa"/>
            <w:vAlign w:val="center"/>
          </w:tcPr>
          <w:p w14:paraId="1182311C">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w:t>
            </w:r>
          </w:p>
        </w:tc>
        <w:tc>
          <w:tcPr>
            <w:tcW w:w="885" w:type="dxa"/>
            <w:vAlign w:val="center"/>
          </w:tcPr>
          <w:p w14:paraId="6A7C1A4A">
            <w:pPr>
              <w:numPr>
                <w:ilvl w:val="0"/>
                <w:numId w:val="0"/>
              </w:numPr>
              <w:spacing w:line="360" w:lineRule="exact"/>
              <w:jc w:val="center"/>
              <w:rPr>
                <w:rFonts w:ascii="仿宋" w:hAnsi="仿宋" w:eastAsia="仿宋" w:cs="仿宋"/>
                <w:color w:val="auto"/>
                <w:sz w:val="32"/>
                <w:szCs w:val="32"/>
              </w:rPr>
            </w:pPr>
            <w:r>
              <w:rPr>
                <w:rFonts w:hint="eastAsia" w:ascii="Times New Roman" w:hAnsi="Times New Roman" w:eastAsia="仿宋"/>
                <w:color w:val="auto"/>
                <w:sz w:val="32"/>
                <w:szCs w:val="32"/>
                <w:lang w:eastAsia="zh-CN"/>
              </w:rPr>
              <w:t>维保服务</w:t>
            </w:r>
            <w:r>
              <w:rPr>
                <w:rFonts w:hint="eastAsia" w:ascii="Times New Roman" w:hAnsi="Times New Roman" w:eastAsia="仿宋"/>
                <w:color w:val="auto"/>
                <w:sz w:val="32"/>
                <w:szCs w:val="32"/>
                <w:lang w:val="en-US" w:eastAsia="zh-CN"/>
              </w:rPr>
              <w:t>方案</w:t>
            </w:r>
          </w:p>
        </w:tc>
        <w:tc>
          <w:tcPr>
            <w:tcW w:w="1867" w:type="dxa"/>
            <w:vAlign w:val="center"/>
          </w:tcPr>
          <w:p w14:paraId="16C9E05A">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p>
          <w:p w14:paraId="404F4DD0">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tc>
        <w:tc>
          <w:tcPr>
            <w:tcW w:w="2314" w:type="dxa"/>
            <w:vAlign w:val="center"/>
          </w:tcPr>
          <w:p w14:paraId="29668412">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val="en-US" w:eastAsia="zh-CN"/>
              </w:rPr>
              <w:t>拟投入</w:t>
            </w:r>
            <w:r>
              <w:rPr>
                <w:rFonts w:hint="eastAsia" w:ascii="仿宋" w:hAnsi="仿宋" w:eastAsia="仿宋" w:cs="仿宋"/>
                <w:color w:val="auto"/>
                <w:sz w:val="32"/>
                <w:szCs w:val="32"/>
                <w:lang w:eastAsia="zh-CN"/>
              </w:rPr>
              <w:t>维保</w:t>
            </w:r>
            <w:r>
              <w:rPr>
                <w:rFonts w:hint="eastAsia" w:ascii="Times New Roman" w:hAnsi="仿宋" w:eastAsia="仿宋"/>
                <w:color w:val="auto"/>
                <w:sz w:val="32"/>
                <w:szCs w:val="32"/>
                <w:lang w:eastAsia="zh-CN"/>
              </w:rPr>
              <w:t>服务</w:t>
            </w:r>
            <w:r>
              <w:rPr>
                <w:rFonts w:hint="eastAsia" w:ascii="Times New Roman" w:hAnsi="仿宋" w:eastAsia="仿宋"/>
                <w:color w:val="auto"/>
                <w:sz w:val="32"/>
                <w:szCs w:val="32"/>
                <w:lang w:val="en-US" w:eastAsia="zh-CN"/>
              </w:rPr>
              <w:t>人员的经验、是否有</w:t>
            </w:r>
            <w:r>
              <w:rPr>
                <w:rFonts w:hint="eastAsia" w:ascii="Times New Roman" w:hAnsi="仿宋" w:eastAsia="仿宋"/>
                <w:color w:val="auto"/>
                <w:sz w:val="32"/>
                <w:szCs w:val="32"/>
                <w:lang w:eastAsia="zh-CN"/>
              </w:rPr>
              <w:t>驻场人员、</w:t>
            </w:r>
            <w:r>
              <w:rPr>
                <w:rFonts w:hint="eastAsia" w:ascii="Times New Roman" w:hAnsi="仿宋" w:eastAsia="仿宋"/>
                <w:color w:val="auto"/>
                <w:sz w:val="32"/>
                <w:szCs w:val="32"/>
                <w:lang w:val="en-US" w:eastAsia="zh-CN"/>
              </w:rPr>
              <w:t>维保服务质量承诺书</w:t>
            </w:r>
            <w:r>
              <w:rPr>
                <w:rFonts w:hint="eastAsia" w:ascii="仿宋" w:hAnsi="仿宋" w:eastAsia="仿宋" w:cs="仿宋"/>
                <w:color w:val="auto"/>
                <w:sz w:val="32"/>
                <w:szCs w:val="32"/>
              </w:rPr>
              <w:t>的优劣等方面的内容进行横向对比评审，评审按五个档进行</w:t>
            </w:r>
          </w:p>
        </w:tc>
        <w:tc>
          <w:tcPr>
            <w:tcW w:w="3330" w:type="dxa"/>
            <w:vAlign w:val="center"/>
          </w:tcPr>
          <w:p w14:paraId="33401E1F">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14:paraId="0C837CA5">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34E1091E">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2为</w:t>
            </w:r>
            <w:r>
              <w:rPr>
                <w:rFonts w:hint="eastAsia" w:ascii="仿宋" w:hAnsi="仿宋" w:eastAsia="仿宋" w:cs="仿宋"/>
                <w:color w:val="auto"/>
                <w:sz w:val="32"/>
                <w:szCs w:val="32"/>
                <w:lang w:val="en-US" w:eastAsia="zh-CN"/>
              </w:rPr>
              <w:t>合格</w:t>
            </w:r>
          </w:p>
          <w:p w14:paraId="2E2035A3">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3EFD9D85">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3为</w:t>
            </w:r>
            <w:r>
              <w:rPr>
                <w:rFonts w:hint="eastAsia" w:ascii="仿宋" w:hAnsi="仿宋" w:eastAsia="仿宋" w:cs="仿宋"/>
                <w:color w:val="auto"/>
                <w:sz w:val="32"/>
                <w:szCs w:val="32"/>
                <w:lang w:val="en-US" w:eastAsia="zh-CN"/>
              </w:rPr>
              <w:t>一般</w:t>
            </w:r>
          </w:p>
          <w:p w14:paraId="0A16219D">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5F35B692">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14:paraId="435806BC">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4385A69E">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14:paraId="6494D80F">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tc>
      </w:tr>
    </w:tbl>
    <w:p w14:paraId="7E05463D">
      <w:pPr>
        <w:bidi w:val="0"/>
        <w:rPr>
          <w:rFonts w:ascii="Calibri" w:hAnsi="Calibri" w:eastAsia="宋体" w:cs="Times New Roman"/>
          <w:color w:val="auto"/>
          <w:kern w:val="2"/>
          <w:sz w:val="21"/>
          <w:szCs w:val="22"/>
          <w:lang w:val="en-US" w:eastAsia="zh-CN" w:bidi="ar-SA"/>
        </w:rPr>
      </w:pPr>
    </w:p>
    <w:p w14:paraId="037B3A92">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eastAsia="黑体"/>
          <w:bCs/>
          <w:color w:val="auto"/>
          <w:sz w:val="32"/>
          <w:szCs w:val="32"/>
          <w:shd w:val="clear" w:color="auto" w:fill="FFFFFF"/>
        </w:rPr>
      </w:pPr>
      <w:r>
        <w:rPr>
          <w:rFonts w:hint="eastAsia" w:eastAsia="黑体"/>
          <w:bCs/>
          <w:color w:val="auto"/>
          <w:sz w:val="32"/>
          <w:szCs w:val="32"/>
          <w:shd w:val="clear" w:color="auto" w:fill="FFFFFF"/>
        </w:rPr>
        <w:t>六</w:t>
      </w:r>
      <w:r>
        <w:rPr>
          <w:rFonts w:ascii="Times New Roman" w:hAnsi="Times New Roman" w:eastAsia="黑体"/>
          <w:bCs/>
          <w:color w:val="auto"/>
          <w:sz w:val="32"/>
          <w:szCs w:val="32"/>
          <w:shd w:val="clear" w:color="auto" w:fill="FFFFFF"/>
        </w:rPr>
        <w:t>、中选候选人推荐原则</w:t>
      </w:r>
    </w:p>
    <w:p w14:paraId="7FCA9248">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color w:val="auto"/>
          <w:lang w:val="en-US" w:eastAsia="zh-CN"/>
        </w:rPr>
      </w:pPr>
      <w:r>
        <w:rPr>
          <w:rFonts w:hint="eastAsia" w:ascii="Times New Roman" w:hAnsi="Times New Roman" w:eastAsia="仿宋"/>
          <w:color w:val="auto"/>
          <w:sz w:val="32"/>
          <w:szCs w:val="32"/>
        </w:rPr>
        <w:t xml:space="preserve">我公司招采人员按比选公告、文件的要求，拟定综合评分表、评审报告。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采购人依序确定其他中选候选人为中选人。    </w:t>
      </w:r>
    </w:p>
    <w:p w14:paraId="70D17214">
      <w:pPr>
        <w:keepNext w:val="0"/>
        <w:keepLines w:val="0"/>
        <w:pageBreakBefore w:val="0"/>
        <w:widowControl w:val="0"/>
        <w:tabs>
          <w:tab w:val="left" w:pos="624"/>
        </w:tabs>
        <w:kinsoku/>
        <w:wordWrap/>
        <w:overflowPunct/>
        <w:topLinePunct w:val="0"/>
        <w:autoSpaceDE/>
        <w:autoSpaceDN/>
        <w:bidi w:val="0"/>
        <w:adjustRightInd/>
        <w:snapToGrid/>
        <w:spacing w:beforeLines="0" w:afterLines="0" w:line="55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eastAsia="zh-CN"/>
        </w:rPr>
        <w:t>附件</w:t>
      </w:r>
      <w:r>
        <w:rPr>
          <w:rFonts w:hint="eastAsia" w:ascii="Times New Roman" w:hAnsi="Times New Roman" w:eastAsia="仿宋"/>
          <w:color w:val="auto"/>
          <w:sz w:val="32"/>
          <w:szCs w:val="32"/>
          <w:lang w:val="en-US" w:eastAsia="zh-CN"/>
        </w:rPr>
        <w:t>：中马钦州产业园启动区青年公寓及标准厂房项目2024—2025年消防维保合同</w:t>
      </w:r>
    </w:p>
    <w:p w14:paraId="20724FF7">
      <w:pPr>
        <w:keepNext w:val="0"/>
        <w:keepLines w:val="0"/>
        <w:pageBreakBefore w:val="0"/>
        <w:widowControl w:val="0"/>
        <w:kinsoku/>
        <w:wordWrap/>
        <w:overflowPunct/>
        <w:topLinePunct w:val="0"/>
        <w:autoSpaceDE/>
        <w:autoSpaceDN/>
        <w:bidi w:val="0"/>
        <w:adjustRightInd/>
        <w:snapToGrid/>
        <w:spacing w:beforeLines="0" w:afterLines="0" w:line="550" w:lineRule="exact"/>
        <w:ind w:firstLine="640" w:firstLineChars="200"/>
        <w:textAlignment w:val="auto"/>
        <w:rPr>
          <w:rFonts w:hint="eastAsia" w:ascii="Times New Roman" w:hAnsi="Times New Roman" w:eastAsia="仿宋"/>
          <w:color w:val="auto"/>
          <w:sz w:val="32"/>
          <w:szCs w:val="32"/>
          <w:lang w:val="en-US" w:eastAsia="zh-CN"/>
        </w:rPr>
      </w:pPr>
    </w:p>
    <w:p w14:paraId="2ACBE192">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ascii="Times New Roman" w:hAnsi="Times New Roman" w:eastAsia="仿宋"/>
          <w:color w:val="auto"/>
          <w:sz w:val="32"/>
          <w:szCs w:val="32"/>
        </w:rPr>
      </w:pPr>
    </w:p>
    <w:p w14:paraId="1BC902B9">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ascii="Times New Roman" w:hAnsi="Times New Roman" w:eastAsia="仿宋"/>
          <w:color w:val="auto"/>
          <w:sz w:val="32"/>
          <w:szCs w:val="32"/>
        </w:rPr>
      </w:pPr>
    </w:p>
    <w:p w14:paraId="65B57BAC">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广</w:t>
      </w:r>
      <w:r>
        <w:rPr>
          <w:rFonts w:hint="eastAsia" w:ascii="Times New Roman" w:hAnsi="Times New Roman" w:eastAsia="仿宋"/>
          <w:color w:val="auto"/>
          <w:sz w:val="32"/>
          <w:szCs w:val="32"/>
        </w:rPr>
        <w:t>西</w:t>
      </w:r>
      <w:r>
        <w:rPr>
          <w:rFonts w:hint="eastAsia" w:ascii="Times New Roman" w:hAnsi="Times New Roman" w:eastAsia="仿宋"/>
          <w:color w:val="auto"/>
          <w:sz w:val="32"/>
          <w:szCs w:val="32"/>
          <w:lang w:eastAsia="zh-CN"/>
        </w:rPr>
        <w:t>中马钦州产业园区开发</w:t>
      </w:r>
      <w:r>
        <w:rPr>
          <w:rFonts w:hint="eastAsia" w:ascii="Times New Roman" w:hAnsi="Times New Roman" w:eastAsia="仿宋"/>
          <w:color w:val="auto"/>
          <w:sz w:val="32"/>
          <w:szCs w:val="32"/>
        </w:rPr>
        <w:t>有限公司</w:t>
      </w:r>
    </w:p>
    <w:p w14:paraId="33E2E574">
      <w:pPr>
        <w:keepNext w:val="0"/>
        <w:keepLines w:val="0"/>
        <w:pageBreakBefore w:val="0"/>
        <w:widowControl w:val="0"/>
        <w:tabs>
          <w:tab w:val="left" w:pos="1164"/>
        </w:tabs>
        <w:kinsoku/>
        <w:wordWrap/>
        <w:overflowPunct/>
        <w:topLinePunct w:val="0"/>
        <w:autoSpaceDE/>
        <w:autoSpaceDN/>
        <w:bidi w:val="0"/>
        <w:adjustRightInd/>
        <w:snapToGrid/>
        <w:spacing w:line="550" w:lineRule="exact"/>
        <w:jc w:val="left"/>
        <w:textAlignment w:val="auto"/>
        <w:rPr>
          <w:color w:val="auto"/>
          <w:lang w:val="en-US" w:eastAsia="zh-CN"/>
        </w:rPr>
        <w:sectPr>
          <w:footerReference r:id="rId5" w:type="default"/>
          <w:pgSz w:w="11906" w:h="16838"/>
          <w:pgMar w:top="1814" w:right="1361" w:bottom="1814" w:left="1474" w:header="851" w:footer="992" w:gutter="0"/>
          <w:pgNumType w:fmt="decimal"/>
          <w:cols w:space="720" w:num="1"/>
          <w:docGrid w:type="lines" w:linePitch="321" w:charSpace="0"/>
        </w:sectPr>
      </w:pPr>
      <w:r>
        <w:rPr>
          <w:rFonts w:ascii="Times New Roman" w:hAnsi="Times New Roman" w:eastAsia="仿宋"/>
          <w:color w:val="auto"/>
          <w:sz w:val="32"/>
          <w:szCs w:val="32"/>
        </w:rPr>
        <w:t>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ascii="Times New Roman" w:hAnsi="Times New Roman" w:eastAsia="仿宋"/>
          <w:color w:val="auto"/>
          <w:sz w:val="32"/>
          <w:szCs w:val="32"/>
        </w:rPr>
        <w:t>20</w:t>
      </w:r>
      <w:r>
        <w:rPr>
          <w:rFonts w:hint="eastAsia" w:ascii="Times New Roman" w:hAnsi="Times New Roman" w:eastAsia="仿宋"/>
          <w:color w:val="auto"/>
          <w:sz w:val="32"/>
          <w:szCs w:val="32"/>
          <w:lang w:val="en-US" w:eastAsia="zh-CN"/>
        </w:rPr>
        <w:t>24</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ascii="Times New Roman" w:hAnsi="仿宋" w:eastAsia="仿宋"/>
          <w:color w:val="auto"/>
          <w:sz w:val="32"/>
          <w:szCs w:val="32"/>
        </w:rPr>
        <w:t>月</w:t>
      </w:r>
      <w:bookmarkStart w:id="5" w:name="_GoBack"/>
      <w:bookmarkEnd w:id="5"/>
      <w:r>
        <w:rPr>
          <w:rFonts w:hint="eastAsia" w:ascii="Times New Roman" w:hAnsi="仿宋" w:eastAsia="仿宋"/>
          <w:color w:val="auto"/>
          <w:sz w:val="32"/>
          <w:szCs w:val="32"/>
          <w:lang w:val="en-US" w:eastAsia="zh-CN"/>
        </w:rPr>
        <w:t>2日</w:t>
      </w:r>
    </w:p>
    <w:p w14:paraId="3683AEE9">
      <w:pPr>
        <w:keepNext w:val="0"/>
        <w:keepLines w:val="0"/>
        <w:pageBreakBefore w:val="0"/>
        <w:widowControl w:val="0"/>
        <w:kinsoku/>
        <w:wordWrap/>
        <w:overflowPunct/>
        <w:topLinePunct w:val="0"/>
        <w:autoSpaceDE/>
        <w:autoSpaceDN/>
        <w:bidi w:val="0"/>
        <w:adjustRightInd w:val="0"/>
        <w:snapToGrid w:val="0"/>
        <w:spacing w:after="157" w:afterLines="50" w:line="510" w:lineRule="exact"/>
        <w:textAlignment w:val="auto"/>
        <w:rPr>
          <w:rFonts w:hint="eastAsia" w:ascii="仿宋" w:hAnsi="仿宋" w:eastAsia="仿宋"/>
          <w:color w:val="auto"/>
          <w:sz w:val="30"/>
          <w:szCs w:val="30"/>
          <w:lang w:eastAsia="zh-CN"/>
        </w:rPr>
      </w:pPr>
      <w:r>
        <w:rPr>
          <w:rFonts w:hint="eastAsia" w:ascii="仿宋" w:hAnsi="仿宋" w:eastAsia="仿宋"/>
          <w:color w:val="auto"/>
          <w:sz w:val="30"/>
          <w:szCs w:val="30"/>
          <w:lang w:eastAsia="zh-CN"/>
        </w:rPr>
        <w:t>附件</w:t>
      </w:r>
    </w:p>
    <w:p w14:paraId="59A745F3">
      <w:pPr>
        <w:jc w:val="center"/>
        <w:rPr>
          <w:rFonts w:hint="eastAsia" w:ascii="仿宋" w:hAnsi="仿宋" w:eastAsia="仿宋"/>
          <w:b/>
          <w:color w:val="auto"/>
          <w:sz w:val="44"/>
          <w:szCs w:val="44"/>
        </w:rPr>
      </w:pPr>
      <w:r>
        <w:rPr>
          <w:rFonts w:hint="eastAsia" w:ascii="仿宋" w:hAnsi="仿宋" w:eastAsia="仿宋"/>
          <w:b/>
          <w:color w:val="auto"/>
          <w:sz w:val="44"/>
          <w:szCs w:val="44"/>
          <w:lang w:eastAsia="zh-CN"/>
        </w:rPr>
        <w:t>中马钦州产业园启动区青年公寓</w:t>
      </w:r>
      <w:r>
        <w:rPr>
          <w:rFonts w:hint="eastAsia" w:ascii="仿宋" w:hAnsi="仿宋" w:eastAsia="仿宋"/>
          <w:b/>
          <w:color w:val="auto"/>
          <w:sz w:val="44"/>
          <w:szCs w:val="44"/>
          <w:lang w:val="en-US" w:eastAsia="zh-CN"/>
        </w:rPr>
        <w:t>及</w:t>
      </w:r>
      <w:r>
        <w:rPr>
          <w:rFonts w:hint="eastAsia" w:ascii="仿宋" w:hAnsi="仿宋" w:eastAsia="仿宋"/>
          <w:b/>
          <w:color w:val="auto"/>
          <w:sz w:val="44"/>
          <w:szCs w:val="44"/>
        </w:rPr>
        <w:t>标准</w:t>
      </w:r>
    </w:p>
    <w:p w14:paraId="1D321992">
      <w:pPr>
        <w:jc w:val="center"/>
        <w:rPr>
          <w:rFonts w:ascii="仿宋" w:hAnsi="仿宋" w:eastAsia="仿宋"/>
          <w:b/>
          <w:color w:val="auto"/>
          <w:sz w:val="24"/>
          <w:szCs w:val="24"/>
        </w:rPr>
      </w:pPr>
      <w:r>
        <w:rPr>
          <w:rFonts w:hint="eastAsia" w:ascii="仿宋" w:hAnsi="仿宋" w:eastAsia="仿宋"/>
          <w:b/>
          <w:color w:val="auto"/>
          <w:sz w:val="44"/>
          <w:szCs w:val="44"/>
        </w:rPr>
        <w:t>厂房项目20</w:t>
      </w:r>
      <w:r>
        <w:rPr>
          <w:rFonts w:ascii="仿宋" w:hAnsi="仿宋" w:eastAsia="仿宋"/>
          <w:b/>
          <w:color w:val="auto"/>
          <w:sz w:val="44"/>
          <w:szCs w:val="44"/>
        </w:rPr>
        <w:t>2</w:t>
      </w:r>
      <w:r>
        <w:rPr>
          <w:rFonts w:hint="eastAsia" w:ascii="仿宋" w:hAnsi="仿宋" w:eastAsia="仿宋"/>
          <w:b/>
          <w:color w:val="auto"/>
          <w:sz w:val="44"/>
          <w:szCs w:val="44"/>
          <w:lang w:val="en-US" w:eastAsia="zh-CN"/>
        </w:rPr>
        <w:t>4</w:t>
      </w:r>
      <w:r>
        <w:rPr>
          <w:rFonts w:hint="eastAsia" w:ascii="仿宋" w:hAnsi="仿宋" w:eastAsia="仿宋"/>
          <w:b/>
          <w:color w:val="auto"/>
          <w:sz w:val="44"/>
          <w:szCs w:val="44"/>
        </w:rPr>
        <w:t>-202</w:t>
      </w:r>
      <w:r>
        <w:rPr>
          <w:rFonts w:hint="eastAsia" w:ascii="仿宋" w:hAnsi="仿宋" w:eastAsia="仿宋"/>
          <w:b/>
          <w:color w:val="auto"/>
          <w:sz w:val="44"/>
          <w:szCs w:val="44"/>
          <w:lang w:val="en-US" w:eastAsia="zh-CN"/>
        </w:rPr>
        <w:t>5</w:t>
      </w:r>
      <w:r>
        <w:rPr>
          <w:rFonts w:hint="eastAsia" w:ascii="仿宋" w:hAnsi="仿宋" w:eastAsia="仿宋"/>
          <w:b/>
          <w:color w:val="auto"/>
          <w:sz w:val="44"/>
          <w:szCs w:val="44"/>
        </w:rPr>
        <w:t>年消防维保合同</w:t>
      </w:r>
    </w:p>
    <w:p w14:paraId="6AE6227D">
      <w:pPr>
        <w:jc w:val="right"/>
        <w:rPr>
          <w:color w:val="auto"/>
        </w:rPr>
      </w:pPr>
    </w:p>
    <w:p w14:paraId="012BCE1E">
      <w:pPr>
        <w:keepNext w:val="0"/>
        <w:keepLines w:val="0"/>
        <w:pageBreakBefore w:val="0"/>
        <w:widowControl w:val="0"/>
        <w:kinsoku/>
        <w:wordWrap w:val="0"/>
        <w:overflowPunct/>
        <w:topLinePunct w:val="0"/>
        <w:autoSpaceDE/>
        <w:autoSpaceDN/>
        <w:bidi w:val="0"/>
        <w:adjustRightInd/>
        <w:snapToGrid/>
        <w:spacing w:before="157" w:beforeLines="50" w:after="157" w:afterLines="50"/>
        <w:jc w:val="center"/>
        <w:textAlignment w:val="auto"/>
        <w:rPr>
          <w:color w:val="auto"/>
        </w:rPr>
      </w:pPr>
      <w:r>
        <w:rPr>
          <w:rFonts w:hint="eastAsia"/>
          <w:color w:val="auto"/>
          <w:lang w:val="en-US" w:eastAsia="zh-CN"/>
        </w:rPr>
        <w:t xml:space="preserve">                                          </w:t>
      </w:r>
      <w:r>
        <w:rPr>
          <w:rFonts w:hint="eastAsia"/>
          <w:color w:val="auto"/>
        </w:rPr>
        <w:t>甲方合同编号：</w:t>
      </w:r>
    </w:p>
    <w:p w14:paraId="4A4A320F">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甲方（委托方）：</w:t>
      </w:r>
      <w:r>
        <w:rPr>
          <w:rFonts w:hint="eastAsia" w:ascii="仿宋" w:hAnsi="仿宋" w:eastAsia="仿宋"/>
          <w:color w:val="auto"/>
          <w:sz w:val="30"/>
          <w:szCs w:val="30"/>
        </w:rPr>
        <w:t>广西中马钦州产业园区开发有限公司</w:t>
      </w:r>
    </w:p>
    <w:p w14:paraId="06FD8C84">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法定代表人：</w:t>
      </w:r>
    </w:p>
    <w:p w14:paraId="74EDDB4B">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联系人</w:t>
      </w:r>
      <w:r>
        <w:rPr>
          <w:rFonts w:ascii="仿宋" w:hAnsi="仿宋" w:eastAsia="仿宋"/>
          <w:color w:val="auto"/>
          <w:sz w:val="30"/>
          <w:szCs w:val="30"/>
        </w:rPr>
        <w:t>：</w:t>
      </w:r>
    </w:p>
    <w:p w14:paraId="26F7B19A">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联系</w:t>
      </w:r>
      <w:r>
        <w:rPr>
          <w:rFonts w:hint="eastAsia" w:ascii="仿宋" w:hAnsi="仿宋" w:eastAsia="仿宋"/>
          <w:color w:val="auto"/>
          <w:sz w:val="30"/>
          <w:szCs w:val="30"/>
        </w:rPr>
        <w:t>电话</w:t>
      </w:r>
    </w:p>
    <w:p w14:paraId="4E539923">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通讯地址：</w:t>
      </w:r>
    </w:p>
    <w:p w14:paraId="2D55D8F0">
      <w:pPr>
        <w:pStyle w:val="7"/>
        <w:keepNext w:val="0"/>
        <w:keepLines w:val="0"/>
        <w:pageBreakBefore w:val="0"/>
        <w:kinsoku/>
        <w:wordWrap/>
        <w:overflowPunct/>
        <w:topLinePunct w:val="0"/>
        <w:autoSpaceDE/>
        <w:autoSpaceDN/>
        <w:bidi w:val="0"/>
        <w:spacing w:before="0" w:beforeAutospacing="0" w:after="0" w:afterAutospacing="0" w:line="470" w:lineRule="exact"/>
        <w:ind w:firstLine="600" w:firstLineChars="200"/>
        <w:textAlignment w:val="auto"/>
        <w:rPr>
          <w:rFonts w:ascii="仿宋" w:hAnsi="仿宋" w:eastAsia="仿宋"/>
          <w:color w:val="auto"/>
          <w:sz w:val="30"/>
          <w:szCs w:val="30"/>
        </w:rPr>
      </w:pPr>
    </w:p>
    <w:p w14:paraId="0A80BF09">
      <w:pPr>
        <w:pStyle w:val="7"/>
        <w:keepNext w:val="0"/>
        <w:keepLines w:val="0"/>
        <w:pageBreakBefore w:val="0"/>
        <w:kinsoku/>
        <w:wordWrap/>
        <w:overflowPunct/>
        <w:topLinePunct w:val="0"/>
        <w:autoSpaceDE/>
        <w:autoSpaceDN/>
        <w:bidi w:val="0"/>
        <w:adjustRightInd w:val="0"/>
        <w:snapToGrid w:val="0"/>
        <w:spacing w:before="0" w:beforeAutospacing="0" w:after="0" w:afterAutospacing="0" w:line="47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乙方（受托方)：</w:t>
      </w:r>
    </w:p>
    <w:p w14:paraId="1723A669">
      <w:pPr>
        <w:pStyle w:val="7"/>
        <w:keepNext w:val="0"/>
        <w:keepLines w:val="0"/>
        <w:pageBreakBefore w:val="0"/>
        <w:kinsoku/>
        <w:wordWrap/>
        <w:overflowPunct/>
        <w:topLinePunct w:val="0"/>
        <w:autoSpaceDE/>
        <w:autoSpaceDN/>
        <w:bidi w:val="0"/>
        <w:adjustRightInd w:val="0"/>
        <w:snapToGrid w:val="0"/>
        <w:spacing w:before="0" w:beforeAutospacing="0" w:after="0" w:afterAutospacing="0" w:line="47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法定代表人：</w:t>
      </w:r>
    </w:p>
    <w:p w14:paraId="37D1121F">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联系</w:t>
      </w:r>
      <w:r>
        <w:rPr>
          <w:rFonts w:hint="eastAsia" w:ascii="仿宋" w:hAnsi="仿宋" w:eastAsia="仿宋"/>
          <w:color w:val="auto"/>
          <w:sz w:val="30"/>
          <w:szCs w:val="30"/>
        </w:rPr>
        <w:t>电话</w:t>
      </w:r>
      <w:r>
        <w:rPr>
          <w:rFonts w:ascii="仿宋" w:hAnsi="仿宋" w:eastAsia="仿宋"/>
          <w:color w:val="auto"/>
          <w:sz w:val="30"/>
          <w:szCs w:val="30"/>
        </w:rPr>
        <w:t>：</w:t>
      </w:r>
    </w:p>
    <w:p w14:paraId="2B75F414">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通讯地址：</w:t>
      </w:r>
    </w:p>
    <w:p w14:paraId="78525B2B">
      <w:pPr>
        <w:keepNext w:val="0"/>
        <w:keepLines w:val="0"/>
        <w:pageBreakBefore w:val="0"/>
        <w:kinsoku/>
        <w:wordWrap/>
        <w:overflowPunct/>
        <w:topLinePunct w:val="0"/>
        <w:autoSpaceDE/>
        <w:autoSpaceDN/>
        <w:bidi w:val="0"/>
        <w:spacing w:line="470" w:lineRule="exact"/>
        <w:textAlignment w:val="auto"/>
        <w:rPr>
          <w:rFonts w:ascii="仿宋" w:hAnsi="仿宋" w:eastAsia="仿宋"/>
          <w:color w:val="auto"/>
          <w:sz w:val="30"/>
          <w:szCs w:val="30"/>
        </w:rPr>
      </w:pPr>
    </w:p>
    <w:p w14:paraId="19FFA261">
      <w:pPr>
        <w:keepNext w:val="0"/>
        <w:keepLines w:val="0"/>
        <w:pageBreakBefore w:val="0"/>
        <w:widowControl/>
        <w:kinsoku/>
        <w:wordWrap/>
        <w:overflowPunct/>
        <w:topLinePunct w:val="0"/>
        <w:autoSpaceDE/>
        <w:autoSpaceDN/>
        <w:bidi w:val="0"/>
        <w:snapToGrid w:val="0"/>
        <w:spacing w:line="470" w:lineRule="exact"/>
        <w:ind w:firstLine="48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  甲、乙双方根据《中华人民共和国</w:t>
      </w:r>
      <w:r>
        <w:rPr>
          <w:rFonts w:hint="eastAsia" w:ascii="仿宋" w:hAnsi="仿宋" w:eastAsia="仿宋" w:cs="仿宋"/>
          <w:color w:val="auto"/>
          <w:sz w:val="32"/>
          <w:szCs w:val="32"/>
        </w:rPr>
        <w:t>民法典</w:t>
      </w:r>
      <w:r>
        <w:rPr>
          <w:rFonts w:hint="eastAsia" w:ascii="仿宋" w:hAnsi="仿宋" w:eastAsia="仿宋"/>
          <w:color w:val="auto"/>
          <w:kern w:val="0"/>
          <w:sz w:val="30"/>
          <w:szCs w:val="30"/>
        </w:rPr>
        <w:t>》、《中华人民共和国消防法》、《广西建筑消防设施维修内容及保养细则》及地方有关建筑消防设施、设备维护保养的技术规范及标准，就</w:t>
      </w:r>
      <w:r>
        <w:rPr>
          <w:rFonts w:hint="eastAsia" w:ascii="仿宋" w:hAnsi="仿宋" w:eastAsia="仿宋"/>
          <w:color w:val="auto"/>
          <w:kern w:val="0"/>
          <w:sz w:val="30"/>
          <w:szCs w:val="30"/>
          <w:u w:val="single"/>
          <w:lang w:eastAsia="zh-CN"/>
        </w:rPr>
        <w:t>中马钦州产业园启动区青年公寓</w:t>
      </w:r>
      <w:r>
        <w:rPr>
          <w:rFonts w:hint="eastAsia" w:ascii="仿宋" w:hAnsi="仿宋" w:eastAsia="仿宋"/>
          <w:color w:val="auto"/>
          <w:kern w:val="0"/>
          <w:sz w:val="30"/>
          <w:szCs w:val="30"/>
          <w:u w:val="single"/>
          <w:lang w:val="en-US" w:eastAsia="zh-CN"/>
        </w:rPr>
        <w:t>及</w:t>
      </w:r>
      <w:r>
        <w:rPr>
          <w:rFonts w:hint="eastAsia" w:ascii="仿宋" w:hAnsi="仿宋" w:eastAsia="仿宋"/>
          <w:color w:val="auto"/>
          <w:kern w:val="0"/>
          <w:sz w:val="30"/>
          <w:szCs w:val="30"/>
          <w:u w:val="single"/>
        </w:rPr>
        <w:t>标准厂房项目202</w:t>
      </w:r>
      <w:r>
        <w:rPr>
          <w:rFonts w:hint="eastAsia" w:ascii="仿宋" w:hAnsi="仿宋" w:eastAsia="仿宋"/>
          <w:color w:val="auto"/>
          <w:kern w:val="0"/>
          <w:sz w:val="30"/>
          <w:szCs w:val="30"/>
          <w:u w:val="single"/>
          <w:lang w:val="en-US" w:eastAsia="zh-CN"/>
        </w:rPr>
        <w:t>4</w:t>
      </w:r>
      <w:r>
        <w:rPr>
          <w:rFonts w:hint="eastAsia" w:ascii="仿宋" w:hAnsi="仿宋" w:eastAsia="仿宋"/>
          <w:color w:val="auto"/>
          <w:kern w:val="0"/>
          <w:sz w:val="30"/>
          <w:szCs w:val="30"/>
          <w:u w:val="single"/>
        </w:rPr>
        <w:t>-202</w:t>
      </w:r>
      <w:r>
        <w:rPr>
          <w:rFonts w:hint="eastAsia" w:ascii="仿宋" w:hAnsi="仿宋" w:eastAsia="仿宋"/>
          <w:color w:val="auto"/>
          <w:kern w:val="0"/>
          <w:sz w:val="30"/>
          <w:szCs w:val="30"/>
          <w:u w:val="single"/>
          <w:lang w:val="en-US" w:eastAsia="zh-CN"/>
        </w:rPr>
        <w:t>5</w:t>
      </w:r>
      <w:r>
        <w:rPr>
          <w:rFonts w:hint="eastAsia" w:ascii="仿宋" w:hAnsi="仿宋" w:eastAsia="仿宋"/>
          <w:color w:val="auto"/>
          <w:kern w:val="0"/>
          <w:sz w:val="30"/>
          <w:szCs w:val="30"/>
          <w:u w:val="single"/>
        </w:rPr>
        <w:t>年消防维保</w:t>
      </w:r>
      <w:r>
        <w:rPr>
          <w:rFonts w:hint="eastAsia" w:ascii="仿宋" w:hAnsi="仿宋" w:eastAsia="仿宋"/>
          <w:color w:val="auto"/>
          <w:kern w:val="0"/>
          <w:sz w:val="30"/>
          <w:szCs w:val="30"/>
        </w:rPr>
        <w:t>等相关事宜，本着平等、自愿、互利的原则，经友好协商，订立本合同。</w:t>
      </w:r>
    </w:p>
    <w:p w14:paraId="0BC46349">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0" w:firstLineChars="200"/>
        <w:jc w:val="left"/>
        <w:textAlignment w:val="auto"/>
        <w:outlineLvl w:val="0"/>
        <w:rPr>
          <w:rFonts w:ascii="仿宋" w:hAnsi="仿宋" w:eastAsia="仿宋"/>
          <w:color w:val="auto"/>
          <w:sz w:val="30"/>
          <w:szCs w:val="30"/>
        </w:rPr>
      </w:pPr>
      <w:r>
        <w:rPr>
          <w:rFonts w:ascii="仿宋" w:hAnsi="仿宋" w:eastAsia="仿宋"/>
          <w:color w:val="auto"/>
          <w:kern w:val="0"/>
          <w:sz w:val="30"/>
          <w:szCs w:val="30"/>
        </w:rPr>
        <w:t xml:space="preserve"> </w:t>
      </w:r>
      <w:bookmarkStart w:id="0" w:name="_Toc6501"/>
      <w:r>
        <w:rPr>
          <w:rFonts w:hint="eastAsia" w:ascii="仿宋" w:hAnsi="仿宋" w:eastAsia="仿宋"/>
          <w:b/>
          <w:color w:val="auto"/>
          <w:sz w:val="30"/>
          <w:szCs w:val="30"/>
        </w:rPr>
        <w:t>第一条</w:t>
      </w:r>
      <w:r>
        <w:rPr>
          <w:rFonts w:ascii="仿宋" w:hAnsi="仿宋" w:eastAsia="仿宋"/>
          <w:b/>
          <w:color w:val="auto"/>
          <w:sz w:val="30"/>
          <w:szCs w:val="30"/>
        </w:rPr>
        <w:t xml:space="preserve"> </w:t>
      </w:r>
      <w:r>
        <w:rPr>
          <w:rFonts w:hint="eastAsia" w:ascii="仿宋" w:hAnsi="仿宋" w:eastAsia="仿宋"/>
          <w:b/>
          <w:color w:val="auto"/>
          <w:sz w:val="30"/>
          <w:szCs w:val="30"/>
        </w:rPr>
        <w:t>维保服务概况</w:t>
      </w:r>
      <w:bookmarkEnd w:id="0"/>
    </w:p>
    <w:p w14:paraId="1560D02C">
      <w:pPr>
        <w:keepNext w:val="0"/>
        <w:keepLines w:val="0"/>
        <w:pageBreakBefore w:val="0"/>
        <w:widowControl/>
        <w:numPr>
          <w:ilvl w:val="0"/>
          <w:numId w:val="1"/>
        </w:numPr>
        <w:kinsoku/>
        <w:wordWrap/>
        <w:overflowPunct/>
        <w:topLinePunct w:val="0"/>
        <w:autoSpaceDE/>
        <w:autoSpaceDN/>
        <w:bidi w:val="0"/>
        <w:snapToGrid w:val="0"/>
        <w:spacing w:line="470" w:lineRule="exact"/>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服务名称：</w:t>
      </w:r>
      <w:r>
        <w:rPr>
          <w:rFonts w:hint="eastAsia" w:ascii="仿宋" w:hAnsi="仿宋" w:eastAsia="仿宋"/>
          <w:color w:val="auto"/>
          <w:kern w:val="0"/>
          <w:sz w:val="30"/>
          <w:szCs w:val="30"/>
          <w:u w:val="single"/>
          <w:lang w:eastAsia="zh-CN"/>
        </w:rPr>
        <w:t>中马钦州产业园启动区青年公寓</w:t>
      </w:r>
      <w:r>
        <w:rPr>
          <w:rFonts w:hint="eastAsia" w:ascii="仿宋" w:hAnsi="仿宋" w:eastAsia="仿宋"/>
          <w:color w:val="auto"/>
          <w:kern w:val="0"/>
          <w:sz w:val="30"/>
          <w:szCs w:val="30"/>
          <w:u w:val="single"/>
          <w:lang w:val="en-US" w:eastAsia="zh-CN"/>
        </w:rPr>
        <w:t>及</w:t>
      </w:r>
      <w:r>
        <w:rPr>
          <w:rFonts w:hint="eastAsia" w:ascii="仿宋" w:hAnsi="仿宋" w:eastAsia="仿宋"/>
          <w:color w:val="auto"/>
          <w:kern w:val="0"/>
          <w:sz w:val="30"/>
          <w:szCs w:val="30"/>
          <w:u w:val="single"/>
        </w:rPr>
        <w:t>标准厂房</w:t>
      </w:r>
      <w:r>
        <w:rPr>
          <w:rFonts w:hint="eastAsia" w:ascii="仿宋" w:hAnsi="仿宋" w:eastAsia="仿宋"/>
          <w:color w:val="auto"/>
          <w:kern w:val="0"/>
          <w:sz w:val="30"/>
          <w:szCs w:val="30"/>
        </w:rPr>
        <w:t>项目消防设施设备维保工程。</w:t>
      </w:r>
    </w:p>
    <w:p w14:paraId="58CDE8B0">
      <w:pPr>
        <w:keepNext w:val="0"/>
        <w:keepLines w:val="0"/>
        <w:pageBreakBefore w:val="0"/>
        <w:widowControl/>
        <w:numPr>
          <w:ilvl w:val="0"/>
          <w:numId w:val="1"/>
        </w:numPr>
        <w:kinsoku/>
        <w:wordWrap/>
        <w:overflowPunct/>
        <w:topLinePunct w:val="0"/>
        <w:autoSpaceDE/>
        <w:autoSpaceDN/>
        <w:bidi w:val="0"/>
        <w:snapToGrid w:val="0"/>
        <w:spacing w:line="470" w:lineRule="exact"/>
        <w:jc w:val="left"/>
        <w:textAlignment w:val="auto"/>
        <w:rPr>
          <w:rFonts w:ascii="仿宋" w:hAnsi="仿宋" w:eastAsia="仿宋"/>
          <w:color w:val="auto"/>
          <w:kern w:val="0"/>
          <w:sz w:val="30"/>
          <w:szCs w:val="30"/>
          <w:u w:val="single"/>
        </w:rPr>
      </w:pPr>
      <w:r>
        <w:rPr>
          <w:rFonts w:hint="eastAsia" w:ascii="仿宋" w:hAnsi="仿宋" w:eastAsia="仿宋"/>
          <w:color w:val="auto"/>
          <w:kern w:val="0"/>
          <w:sz w:val="30"/>
          <w:szCs w:val="30"/>
        </w:rPr>
        <w:t>服务地址：广西钦州市中马产业园区。</w:t>
      </w:r>
    </w:p>
    <w:p w14:paraId="2E180355">
      <w:pPr>
        <w:keepNext w:val="0"/>
        <w:keepLines w:val="0"/>
        <w:pageBreakBefore w:val="0"/>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sz w:val="30"/>
          <w:szCs w:val="30"/>
        </w:rPr>
      </w:pPr>
      <w:r>
        <w:rPr>
          <w:rFonts w:hint="eastAsia" w:ascii="仿宋" w:hAnsi="仿宋" w:eastAsia="仿宋"/>
          <w:color w:val="auto"/>
          <w:sz w:val="30"/>
          <w:szCs w:val="30"/>
        </w:rPr>
        <w:t>（三）建筑面积：共计</w:t>
      </w:r>
      <w:r>
        <w:rPr>
          <w:rFonts w:hint="eastAsia" w:ascii="仿宋" w:hAnsi="仿宋" w:eastAsia="仿宋"/>
          <w:color w:val="auto"/>
          <w:sz w:val="30"/>
          <w:szCs w:val="30"/>
          <w:lang w:val="en-US" w:eastAsia="zh-CN"/>
        </w:rPr>
        <w:t>188589.63</w:t>
      </w:r>
      <w:r>
        <w:rPr>
          <w:rFonts w:hint="eastAsia" w:ascii="仿宋" w:hAnsi="仿宋" w:eastAsia="仿宋"/>
          <w:color w:val="auto"/>
          <w:sz w:val="30"/>
          <w:szCs w:val="30"/>
        </w:rPr>
        <w:t>㎡。</w:t>
      </w:r>
    </w:p>
    <w:p w14:paraId="667C5ED4">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（四）主机型号：北大青鸟</w:t>
      </w:r>
    </w:p>
    <w:p w14:paraId="5FD9C49E">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b/>
          <w:color w:val="auto"/>
          <w:sz w:val="30"/>
          <w:szCs w:val="30"/>
        </w:rPr>
      </w:pPr>
      <w:bookmarkStart w:id="1" w:name="_Toc5864"/>
      <w:r>
        <w:rPr>
          <w:rFonts w:hint="eastAsia" w:ascii="仿宋" w:hAnsi="仿宋" w:eastAsia="仿宋"/>
          <w:b/>
          <w:color w:val="auto"/>
          <w:sz w:val="30"/>
          <w:szCs w:val="30"/>
        </w:rPr>
        <w:t>第二条</w:t>
      </w:r>
      <w:r>
        <w:rPr>
          <w:rFonts w:ascii="仿宋" w:hAnsi="仿宋" w:eastAsia="仿宋"/>
          <w:b/>
          <w:color w:val="auto"/>
          <w:sz w:val="30"/>
          <w:szCs w:val="30"/>
        </w:rPr>
        <w:t xml:space="preserve"> </w:t>
      </w:r>
      <w:r>
        <w:rPr>
          <w:rFonts w:hint="eastAsia" w:ascii="仿宋" w:hAnsi="仿宋" w:eastAsia="仿宋"/>
          <w:b/>
          <w:color w:val="auto"/>
          <w:sz w:val="30"/>
          <w:szCs w:val="30"/>
        </w:rPr>
        <w:t>合同</w:t>
      </w:r>
      <w:bookmarkEnd w:id="1"/>
      <w:r>
        <w:rPr>
          <w:rFonts w:hint="eastAsia" w:ascii="仿宋" w:hAnsi="仿宋" w:eastAsia="仿宋"/>
          <w:b/>
          <w:color w:val="auto"/>
          <w:sz w:val="30"/>
          <w:szCs w:val="30"/>
        </w:rPr>
        <w:t>联系人</w:t>
      </w:r>
    </w:p>
    <w:p w14:paraId="7C74BF8E">
      <w:pPr>
        <w:keepNext w:val="0"/>
        <w:keepLines w:val="0"/>
        <w:pageBreakBefore w:val="0"/>
        <w:widowControl/>
        <w:tabs>
          <w:tab w:val="left" w:pos="851"/>
          <w:tab w:val="left" w:pos="1702"/>
        </w:tabs>
        <w:kinsoku/>
        <w:wordWrap/>
        <w:overflowPunct/>
        <w:topLinePunct w:val="0"/>
        <w:autoSpaceDE/>
        <w:autoSpaceDN/>
        <w:bidi w:val="0"/>
        <w:spacing w:before="156" w:line="470" w:lineRule="exact"/>
        <w:ind w:firstLine="600" w:firstLineChars="200"/>
        <w:jc w:val="left"/>
        <w:textAlignment w:val="auto"/>
        <w:outlineLvl w:val="0"/>
        <w:rPr>
          <w:rFonts w:ascii="仿宋" w:hAnsi="仿宋" w:eastAsia="仿宋"/>
          <w:color w:val="auto"/>
          <w:kern w:val="0"/>
          <w:sz w:val="30"/>
          <w:szCs w:val="30"/>
        </w:rPr>
      </w:pPr>
      <w:r>
        <w:rPr>
          <w:rFonts w:hint="eastAsia" w:ascii="仿宋" w:hAnsi="仿宋" w:eastAsia="仿宋"/>
          <w:color w:val="auto"/>
          <w:kern w:val="0"/>
          <w:sz w:val="30"/>
          <w:szCs w:val="30"/>
        </w:rPr>
        <w:t>（一）甲方指定</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（电话：</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 xml:space="preserve">，邮箱：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rPr>
        <w:t>，邮寄地址：</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）为本合同的履约联系人，其依据甲方本合同权利义务而签署的相关文件均具有法律效力。</w:t>
      </w:r>
    </w:p>
    <w:p w14:paraId="60E99887">
      <w:pPr>
        <w:keepNext w:val="0"/>
        <w:keepLines w:val="0"/>
        <w:pageBreakBefore w:val="0"/>
        <w:widowControl/>
        <w:kinsoku/>
        <w:wordWrap/>
        <w:overflowPunct/>
        <w:topLinePunct w:val="0"/>
        <w:autoSpaceDE/>
        <w:autoSpaceDN/>
        <w:bidi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（二）乙方指定</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（电话：</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，邮箱：</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，邮寄地址：</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）为本合同的履约联系人，行使本合同相关事宜的权利和义务，其依据乙方本合同权利义务而签署的相关文件均具有法律效力。</w:t>
      </w:r>
    </w:p>
    <w:p w14:paraId="382003FD">
      <w:pPr>
        <w:keepNext w:val="0"/>
        <w:keepLines w:val="0"/>
        <w:pageBreakBefore w:val="0"/>
        <w:widowControl/>
        <w:kinsoku/>
        <w:wordWrap/>
        <w:overflowPunct/>
        <w:topLinePunct w:val="0"/>
        <w:autoSpaceDE/>
        <w:autoSpaceDN/>
        <w:bidi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（三）若合同双方任意一方联系人有变更，须至少提前</w:t>
      </w:r>
      <w:r>
        <w:rPr>
          <w:rFonts w:hint="eastAsia" w:ascii="仿宋" w:hAnsi="仿宋" w:eastAsia="仿宋"/>
          <w:color w:val="auto"/>
          <w:kern w:val="0"/>
          <w:sz w:val="30"/>
          <w:szCs w:val="30"/>
          <w:u w:val="single"/>
        </w:rPr>
        <w:t xml:space="preserve"> 7 </w:t>
      </w:r>
      <w:r>
        <w:rPr>
          <w:rFonts w:hint="eastAsia" w:ascii="仿宋" w:hAnsi="仿宋" w:eastAsia="仿宋"/>
          <w:color w:val="auto"/>
          <w:kern w:val="0"/>
          <w:sz w:val="30"/>
          <w:szCs w:val="30"/>
        </w:rPr>
        <w:t>天书面函告合同相对方，如因怠于通知所造成的一切后果应自行承担。</w:t>
      </w:r>
    </w:p>
    <w:p w14:paraId="157039D5">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b/>
          <w:color w:val="auto"/>
          <w:sz w:val="30"/>
          <w:szCs w:val="30"/>
        </w:rPr>
      </w:pPr>
      <w:r>
        <w:rPr>
          <w:rFonts w:hint="eastAsia" w:ascii="仿宋" w:hAnsi="仿宋" w:eastAsia="仿宋"/>
          <w:b/>
          <w:color w:val="auto"/>
          <w:sz w:val="30"/>
          <w:szCs w:val="30"/>
        </w:rPr>
        <w:t>第三条</w:t>
      </w:r>
      <w:r>
        <w:rPr>
          <w:rFonts w:ascii="仿宋" w:hAnsi="仿宋" w:eastAsia="仿宋"/>
          <w:b/>
          <w:color w:val="auto"/>
          <w:sz w:val="30"/>
          <w:szCs w:val="30"/>
        </w:rPr>
        <w:t xml:space="preserve"> 合同期限</w:t>
      </w:r>
    </w:p>
    <w:p w14:paraId="7E492733">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color w:val="auto"/>
          <w:kern w:val="0"/>
          <w:sz w:val="30"/>
          <w:szCs w:val="30"/>
        </w:rPr>
      </w:pPr>
      <w:r>
        <w:rPr>
          <w:rFonts w:hint="eastAsia" w:ascii="仿宋" w:hAnsi="仿宋" w:eastAsia="仿宋"/>
          <w:b/>
          <w:color w:val="auto"/>
          <w:sz w:val="30"/>
          <w:szCs w:val="30"/>
        </w:rPr>
        <w:t>（一）</w:t>
      </w:r>
      <w:r>
        <w:rPr>
          <w:rFonts w:ascii="仿宋" w:hAnsi="仿宋" w:eastAsia="仿宋"/>
          <w:color w:val="auto"/>
          <w:kern w:val="0"/>
          <w:sz w:val="30"/>
          <w:szCs w:val="30"/>
        </w:rPr>
        <w:t>合同期限</w:t>
      </w:r>
      <w:r>
        <w:rPr>
          <w:rFonts w:hint="eastAsia" w:ascii="仿宋" w:hAnsi="仿宋" w:eastAsia="仿宋"/>
          <w:color w:val="auto"/>
          <w:kern w:val="0"/>
          <w:sz w:val="30"/>
          <w:szCs w:val="30"/>
        </w:rPr>
        <w:t>：</w:t>
      </w:r>
    </w:p>
    <w:p w14:paraId="294B4A13">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lang w:val="en-US" w:eastAsia="zh-CN"/>
        </w:rPr>
        <w:t>1</w:t>
      </w:r>
      <w:r>
        <w:rPr>
          <w:rFonts w:hint="eastAsia" w:ascii="仿宋" w:hAnsi="仿宋" w:eastAsia="仿宋"/>
          <w:color w:val="auto"/>
          <w:kern w:val="0"/>
          <w:sz w:val="30"/>
          <w:szCs w:val="30"/>
        </w:rPr>
        <w:t>、青年公寓项目：暂定</w:t>
      </w:r>
      <w:r>
        <w:rPr>
          <w:rFonts w:ascii="仿宋" w:hAnsi="仿宋" w:eastAsia="仿宋"/>
          <w:color w:val="auto"/>
          <w:kern w:val="0"/>
          <w:sz w:val="30"/>
          <w:szCs w:val="30"/>
        </w:rPr>
        <w:t>自</w:t>
      </w:r>
      <w:r>
        <w:rPr>
          <w:rFonts w:hint="eastAsia" w:ascii="仿宋" w:hAnsi="仿宋" w:eastAsia="仿宋"/>
          <w:color w:val="auto"/>
          <w:kern w:val="0"/>
          <w:sz w:val="30"/>
          <w:szCs w:val="30"/>
          <w:u w:val="single"/>
        </w:rPr>
        <w:t xml:space="preserve"> 202</w:t>
      </w:r>
      <w:r>
        <w:rPr>
          <w:rFonts w:hint="eastAsia" w:ascii="仿宋" w:hAnsi="仿宋" w:eastAsia="仿宋"/>
          <w:color w:val="auto"/>
          <w:kern w:val="0"/>
          <w:sz w:val="30"/>
          <w:szCs w:val="30"/>
          <w:u w:val="single"/>
          <w:lang w:val="en-US" w:eastAsia="zh-CN"/>
        </w:rPr>
        <w:t>4</w:t>
      </w:r>
      <w:r>
        <w:rPr>
          <w:rFonts w:hint="eastAsia" w:ascii="仿宋" w:hAnsi="仿宋" w:eastAsia="仿宋"/>
          <w:color w:val="auto"/>
          <w:kern w:val="0"/>
          <w:sz w:val="30"/>
          <w:szCs w:val="30"/>
          <w:u w:val="single"/>
        </w:rPr>
        <w:t xml:space="preserve"> </w:t>
      </w:r>
      <w:r>
        <w:rPr>
          <w:rFonts w:ascii="仿宋" w:hAnsi="仿宋" w:eastAsia="仿宋"/>
          <w:color w:val="auto"/>
          <w:kern w:val="0"/>
          <w:sz w:val="30"/>
          <w:szCs w:val="30"/>
        </w:rPr>
        <w:t>年</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 xml:space="preserve"> </w:t>
      </w:r>
      <w:r>
        <w:rPr>
          <w:rFonts w:ascii="仿宋" w:hAnsi="仿宋" w:eastAsia="仿宋"/>
          <w:color w:val="auto"/>
          <w:kern w:val="0"/>
          <w:sz w:val="30"/>
          <w:szCs w:val="30"/>
        </w:rPr>
        <w:t>月</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 xml:space="preserve"> </w:t>
      </w:r>
      <w:r>
        <w:rPr>
          <w:rFonts w:ascii="仿宋" w:hAnsi="仿宋" w:eastAsia="仿宋"/>
          <w:color w:val="auto"/>
          <w:kern w:val="0"/>
          <w:sz w:val="30"/>
          <w:szCs w:val="30"/>
        </w:rPr>
        <w:t>日起至</w:t>
      </w:r>
      <w:r>
        <w:rPr>
          <w:rFonts w:hint="eastAsia" w:ascii="仿宋" w:hAnsi="仿宋" w:eastAsia="仿宋"/>
          <w:color w:val="auto"/>
          <w:kern w:val="0"/>
          <w:sz w:val="30"/>
          <w:szCs w:val="30"/>
          <w:u w:val="single"/>
        </w:rPr>
        <w:t xml:space="preserve"> 202</w:t>
      </w:r>
      <w:r>
        <w:rPr>
          <w:rFonts w:hint="eastAsia" w:ascii="仿宋" w:hAnsi="仿宋" w:eastAsia="仿宋"/>
          <w:color w:val="auto"/>
          <w:kern w:val="0"/>
          <w:sz w:val="30"/>
          <w:szCs w:val="30"/>
          <w:u w:val="single"/>
          <w:lang w:val="en-US" w:eastAsia="zh-CN"/>
        </w:rPr>
        <w:t>5</w:t>
      </w:r>
      <w:r>
        <w:rPr>
          <w:rFonts w:hint="eastAsia" w:ascii="仿宋" w:hAnsi="仿宋" w:eastAsia="仿宋"/>
          <w:color w:val="auto"/>
          <w:kern w:val="0"/>
          <w:sz w:val="30"/>
          <w:szCs w:val="30"/>
          <w:u w:val="single"/>
        </w:rPr>
        <w:t xml:space="preserve"> </w:t>
      </w:r>
      <w:r>
        <w:rPr>
          <w:rFonts w:ascii="仿宋" w:hAnsi="仿宋" w:eastAsia="仿宋"/>
          <w:color w:val="auto"/>
          <w:kern w:val="0"/>
          <w:sz w:val="30"/>
          <w:szCs w:val="30"/>
        </w:rPr>
        <w:t>年</w:t>
      </w:r>
      <w:r>
        <w:rPr>
          <w:rFonts w:hint="eastAsia" w:ascii="仿宋" w:hAnsi="仿宋" w:eastAsia="仿宋"/>
          <w:color w:val="auto"/>
          <w:kern w:val="0"/>
          <w:sz w:val="30"/>
          <w:szCs w:val="30"/>
          <w:u w:val="single"/>
        </w:rPr>
        <w:t xml:space="preserve">   </w:t>
      </w:r>
      <w:r>
        <w:rPr>
          <w:rFonts w:ascii="仿宋" w:hAnsi="仿宋" w:eastAsia="仿宋"/>
          <w:color w:val="auto"/>
          <w:kern w:val="0"/>
          <w:sz w:val="30"/>
          <w:szCs w:val="30"/>
        </w:rPr>
        <w:t>月</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ascii="仿宋" w:hAnsi="仿宋" w:eastAsia="仿宋"/>
          <w:color w:val="auto"/>
          <w:kern w:val="0"/>
          <w:sz w:val="30"/>
          <w:szCs w:val="30"/>
        </w:rPr>
        <w:t>日止</w:t>
      </w:r>
      <w:r>
        <w:rPr>
          <w:rFonts w:hint="eastAsia" w:ascii="仿宋" w:hAnsi="仿宋" w:eastAsia="仿宋"/>
          <w:color w:val="auto"/>
          <w:kern w:val="0"/>
          <w:sz w:val="30"/>
          <w:szCs w:val="30"/>
        </w:rPr>
        <w:t>（服务起始日最终以甲方通知进场时间为准，合同服务期为1年）。</w:t>
      </w:r>
    </w:p>
    <w:p w14:paraId="2A0A3F54">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lang w:val="en-US" w:eastAsia="zh-CN"/>
        </w:rPr>
        <w:t>2</w:t>
      </w:r>
      <w:r>
        <w:rPr>
          <w:rFonts w:hint="eastAsia" w:ascii="仿宋" w:hAnsi="仿宋" w:eastAsia="仿宋"/>
          <w:color w:val="auto"/>
          <w:kern w:val="0"/>
          <w:sz w:val="30"/>
          <w:szCs w:val="30"/>
        </w:rPr>
        <w:t>、标准厂房项目：暂定</w:t>
      </w:r>
      <w:r>
        <w:rPr>
          <w:rFonts w:ascii="仿宋" w:hAnsi="仿宋" w:eastAsia="仿宋"/>
          <w:color w:val="auto"/>
          <w:kern w:val="0"/>
          <w:sz w:val="30"/>
          <w:szCs w:val="30"/>
        </w:rPr>
        <w:t>自</w:t>
      </w:r>
      <w:r>
        <w:rPr>
          <w:rFonts w:hint="eastAsia" w:ascii="仿宋" w:hAnsi="仿宋" w:eastAsia="仿宋"/>
          <w:color w:val="auto"/>
          <w:kern w:val="0"/>
          <w:sz w:val="30"/>
          <w:szCs w:val="30"/>
          <w:u w:val="single"/>
        </w:rPr>
        <w:t xml:space="preserve"> 202</w:t>
      </w:r>
      <w:r>
        <w:rPr>
          <w:rFonts w:hint="eastAsia" w:ascii="仿宋" w:hAnsi="仿宋" w:eastAsia="仿宋"/>
          <w:color w:val="auto"/>
          <w:kern w:val="0"/>
          <w:sz w:val="30"/>
          <w:szCs w:val="30"/>
          <w:u w:val="single"/>
          <w:lang w:val="en-US" w:eastAsia="zh-CN"/>
        </w:rPr>
        <w:t>4</w:t>
      </w:r>
      <w:r>
        <w:rPr>
          <w:rFonts w:ascii="仿宋" w:hAnsi="仿宋" w:eastAsia="仿宋"/>
          <w:color w:val="auto"/>
          <w:kern w:val="0"/>
          <w:sz w:val="30"/>
          <w:szCs w:val="30"/>
        </w:rPr>
        <w:t>年</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 xml:space="preserve"> </w:t>
      </w:r>
      <w:r>
        <w:rPr>
          <w:rFonts w:ascii="仿宋" w:hAnsi="仿宋" w:eastAsia="仿宋"/>
          <w:color w:val="auto"/>
          <w:kern w:val="0"/>
          <w:sz w:val="30"/>
          <w:szCs w:val="30"/>
        </w:rPr>
        <w:t>月</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ascii="仿宋" w:hAnsi="仿宋" w:eastAsia="仿宋"/>
          <w:color w:val="auto"/>
          <w:kern w:val="0"/>
          <w:sz w:val="30"/>
          <w:szCs w:val="30"/>
        </w:rPr>
        <w:t>日起至</w:t>
      </w:r>
      <w:r>
        <w:rPr>
          <w:rFonts w:hint="eastAsia" w:ascii="仿宋" w:hAnsi="仿宋" w:eastAsia="仿宋"/>
          <w:color w:val="auto"/>
          <w:kern w:val="0"/>
          <w:sz w:val="30"/>
          <w:szCs w:val="30"/>
          <w:u w:val="single"/>
        </w:rPr>
        <w:t xml:space="preserve"> 202</w:t>
      </w:r>
      <w:r>
        <w:rPr>
          <w:rFonts w:hint="eastAsia" w:ascii="仿宋" w:hAnsi="仿宋" w:eastAsia="仿宋"/>
          <w:color w:val="auto"/>
          <w:kern w:val="0"/>
          <w:sz w:val="30"/>
          <w:szCs w:val="30"/>
          <w:u w:val="single"/>
          <w:lang w:val="en-US" w:eastAsia="zh-CN"/>
        </w:rPr>
        <w:t>5</w:t>
      </w:r>
      <w:r>
        <w:rPr>
          <w:rFonts w:hint="eastAsia" w:ascii="仿宋" w:hAnsi="仿宋" w:eastAsia="仿宋"/>
          <w:color w:val="auto"/>
          <w:kern w:val="0"/>
          <w:sz w:val="30"/>
          <w:szCs w:val="30"/>
          <w:u w:val="single"/>
        </w:rPr>
        <w:t xml:space="preserve"> </w:t>
      </w:r>
      <w:r>
        <w:rPr>
          <w:rFonts w:ascii="仿宋" w:hAnsi="仿宋" w:eastAsia="仿宋"/>
          <w:color w:val="auto"/>
          <w:kern w:val="0"/>
          <w:sz w:val="30"/>
          <w:szCs w:val="30"/>
        </w:rPr>
        <w:t>年</w:t>
      </w:r>
      <w:r>
        <w:rPr>
          <w:rFonts w:hint="eastAsia" w:ascii="仿宋" w:hAnsi="仿宋" w:eastAsia="仿宋"/>
          <w:color w:val="auto"/>
          <w:kern w:val="0"/>
          <w:sz w:val="30"/>
          <w:szCs w:val="30"/>
          <w:u w:val="non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 xml:space="preserve"> </w:t>
      </w:r>
      <w:r>
        <w:rPr>
          <w:rFonts w:ascii="仿宋" w:hAnsi="仿宋" w:eastAsia="仿宋"/>
          <w:color w:val="auto"/>
          <w:kern w:val="0"/>
          <w:sz w:val="30"/>
          <w:szCs w:val="30"/>
        </w:rPr>
        <w:t>月</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ascii="仿宋" w:hAnsi="仿宋" w:eastAsia="仿宋"/>
          <w:color w:val="auto"/>
          <w:kern w:val="0"/>
          <w:sz w:val="30"/>
          <w:szCs w:val="30"/>
        </w:rPr>
        <w:t>日止</w:t>
      </w:r>
      <w:r>
        <w:rPr>
          <w:rFonts w:hint="eastAsia" w:ascii="仿宋" w:hAnsi="仿宋" w:eastAsia="仿宋"/>
          <w:color w:val="auto"/>
          <w:kern w:val="0"/>
          <w:sz w:val="30"/>
          <w:szCs w:val="30"/>
        </w:rPr>
        <w:t>（服务起始日最终以甲方通知进场时间为准，合同服务期为1年）；</w:t>
      </w:r>
    </w:p>
    <w:p w14:paraId="33084E39">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（二）合同考察期：</w:t>
      </w:r>
    </w:p>
    <w:p w14:paraId="63FB86F1">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服务起始日起</w:t>
      </w:r>
      <w:r>
        <w:rPr>
          <w:rFonts w:ascii="仿宋" w:hAnsi="仿宋" w:eastAsia="仿宋"/>
          <w:color w:val="auto"/>
          <w:kern w:val="0"/>
          <w:sz w:val="30"/>
          <w:szCs w:val="30"/>
          <w:u w:val="single"/>
        </w:rPr>
        <w:t xml:space="preserve"> 30 </w:t>
      </w:r>
      <w:r>
        <w:rPr>
          <w:rFonts w:hint="eastAsia" w:ascii="仿宋" w:hAnsi="仿宋" w:eastAsia="仿宋"/>
          <w:color w:val="auto"/>
          <w:kern w:val="0"/>
          <w:sz w:val="30"/>
          <w:szCs w:val="30"/>
        </w:rPr>
        <w:t>日为考察期。考察期内，如甲方认为乙方提供的服务有下列情形的，甲方有权立即通知乙方终止本合同：</w:t>
      </w:r>
    </w:p>
    <w:p w14:paraId="5E81BA70">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（1）乙方的服务质量被甲方评估考核不合格的；</w:t>
      </w:r>
    </w:p>
    <w:p w14:paraId="48C4D456">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（2）乙方的服务被甲方或业主投诉累计达1次及以上的；</w:t>
      </w:r>
    </w:p>
    <w:p w14:paraId="34C6F2B2">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（3）乙方的服务存在瑕疵，导致甲方受到相关行政主管部门处罚的；</w:t>
      </w:r>
    </w:p>
    <w:p w14:paraId="3CB6E95D">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（4）乙方作业过程中发生安全事故的；</w:t>
      </w:r>
    </w:p>
    <w:p w14:paraId="16F89867">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（5）乙方违反本合同约定的乙方应履行的义务内容，未在甲方书面通知限期内整改或者整改后仍不符合甲方要求的；</w:t>
      </w:r>
    </w:p>
    <w:p w14:paraId="7D8B283F">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（6）发生本合同约定的合同解除、终止情形的。</w:t>
      </w:r>
    </w:p>
    <w:p w14:paraId="3FEB36A3">
      <w:pPr>
        <w:keepNext w:val="0"/>
        <w:keepLines w:val="0"/>
        <w:pageBreakBefore w:val="0"/>
        <w:widowControl/>
        <w:kinsoku/>
        <w:wordWrap/>
        <w:overflowPunct/>
        <w:topLinePunct w:val="0"/>
        <w:autoSpaceDE/>
        <w:autoSpaceDN/>
        <w:bidi w:val="0"/>
        <w:snapToGrid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本合同自甲方通知到达乙方时终止，双方按</w:t>
      </w:r>
      <w:r>
        <w:rPr>
          <w:rFonts w:ascii="仿宋" w:hAnsi="仿宋" w:eastAsia="仿宋"/>
          <w:color w:val="auto"/>
          <w:kern w:val="0"/>
          <w:sz w:val="30"/>
          <w:szCs w:val="30"/>
        </w:rPr>
        <w:t>本合同约定的标准</w:t>
      </w:r>
      <w:r>
        <w:rPr>
          <w:rFonts w:hint="eastAsia" w:ascii="仿宋" w:hAnsi="仿宋" w:eastAsia="仿宋"/>
          <w:color w:val="auto"/>
          <w:kern w:val="0"/>
          <w:sz w:val="30"/>
          <w:szCs w:val="30"/>
        </w:rPr>
        <w:t>据实结算服务费，除此之外，甲方无需承担其他任何费用或责任。</w:t>
      </w:r>
    </w:p>
    <w:p w14:paraId="5AE280E6">
      <w:pPr>
        <w:keepNext w:val="0"/>
        <w:keepLines w:val="0"/>
        <w:pageBreakBefore w:val="0"/>
        <w:widowControl/>
        <w:kinsoku/>
        <w:wordWrap/>
        <w:overflowPunct/>
        <w:topLinePunct w:val="0"/>
        <w:autoSpaceDE/>
        <w:autoSpaceDN/>
        <w:bidi w:val="0"/>
        <w:adjustRightInd/>
        <w:snapToGrid w:val="0"/>
        <w:spacing w:line="470" w:lineRule="exact"/>
        <w:ind w:firstLine="602" w:firstLineChars="200"/>
        <w:textAlignment w:val="auto"/>
        <w:rPr>
          <w:rFonts w:ascii="仿宋" w:hAnsi="仿宋" w:eastAsia="仿宋"/>
          <w:color w:val="auto"/>
          <w:kern w:val="0"/>
          <w:sz w:val="30"/>
          <w:szCs w:val="30"/>
        </w:rPr>
      </w:pPr>
      <w:r>
        <w:rPr>
          <w:rFonts w:hint="eastAsia" w:ascii="仿宋" w:hAnsi="仿宋" w:eastAsia="仿宋"/>
          <w:b/>
          <w:color w:val="auto"/>
          <w:sz w:val="30"/>
          <w:szCs w:val="30"/>
        </w:rPr>
        <w:t>第四条</w:t>
      </w:r>
      <w:r>
        <w:rPr>
          <w:rFonts w:ascii="仿宋" w:hAnsi="仿宋" w:eastAsia="仿宋"/>
          <w:b/>
          <w:color w:val="auto"/>
          <w:sz w:val="30"/>
          <w:szCs w:val="30"/>
        </w:rPr>
        <w:t xml:space="preserve"> </w:t>
      </w:r>
      <w:r>
        <w:rPr>
          <w:rFonts w:hint="eastAsia" w:ascii="仿宋" w:hAnsi="仿宋" w:eastAsia="仿宋"/>
          <w:b/>
          <w:color w:val="auto"/>
          <w:sz w:val="30"/>
          <w:szCs w:val="30"/>
        </w:rPr>
        <w:t>合同维保范围和内容</w:t>
      </w:r>
      <w:r>
        <w:rPr>
          <w:rFonts w:hint="eastAsia" w:ascii="仿宋" w:hAnsi="仿宋" w:eastAsia="仿宋"/>
          <w:color w:val="auto"/>
          <w:kern w:val="0"/>
          <w:sz w:val="30"/>
          <w:szCs w:val="30"/>
        </w:rPr>
        <w:t>（具体详见合同附件一）</w:t>
      </w:r>
    </w:p>
    <w:p w14:paraId="577B7D1F">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（一）消火栓系统：室内外消火栓、消火栓按钮、消防水泵、水泵结合器、试验用消火栓、消火栓系统室内管网以及各种阀门的巡查、检测、维护、保养。</w:t>
      </w:r>
    </w:p>
    <w:p w14:paraId="7FCF670A">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（二）自动喷淋灭火系统：湿式报警阀、水流指示器、安全信号阀、压力开关、喷淋泵、喷淋头、水泵接合器、管网及自动喷淋系统各种阀门的巡查、检测、维护、保养。</w:t>
      </w:r>
    </w:p>
    <w:p w14:paraId="3B7D3488">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（三）火灾自动报警系统：报警控制主机、感烟探测器、感温探测器、消火栓按钮、手动报警按钮、声光报警器、报警控制主机、CRT模块、消防端子箱、报警设备及其线路的巡查、检测、维护、保养。</w:t>
      </w:r>
    </w:p>
    <w:p w14:paraId="0DABE4E1">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highlight w:val="yellow"/>
        </w:rPr>
      </w:pPr>
      <w:r>
        <w:rPr>
          <w:rFonts w:hint="eastAsia" w:ascii="仿宋" w:hAnsi="仿宋" w:eastAsia="仿宋"/>
          <w:color w:val="auto"/>
          <w:kern w:val="0"/>
          <w:sz w:val="30"/>
          <w:szCs w:val="30"/>
        </w:rPr>
        <w:t>（四）火警通讯系统及消防广播系统：广播控制器、话筒、音箱、功放及其线路、火警电话主机、对讲电话及其管线的巡查、检测、维护、保养。</w:t>
      </w:r>
    </w:p>
    <w:p w14:paraId="32D112FF">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（五）防排烟系统：防排烟风机、风阀、风管、风机控制柜及控制线路的巡查、检测、维护、保养。</w:t>
      </w:r>
    </w:p>
    <w:p w14:paraId="15851F31">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（六）消防应急照明及疏散指示系统：应急照明柜、</w:t>
      </w:r>
      <w:r>
        <w:rPr>
          <w:rFonts w:hint="eastAsia" w:ascii="仿宋" w:hAnsi="仿宋" w:eastAsia="仿宋" w:cs="宋体"/>
          <w:color w:val="auto"/>
          <w:kern w:val="0"/>
          <w:sz w:val="30"/>
          <w:szCs w:val="30"/>
        </w:rPr>
        <w:t>应急灯、疏散指示灯、出口指示灯等</w:t>
      </w:r>
      <w:r>
        <w:rPr>
          <w:rFonts w:hint="eastAsia" w:ascii="仿宋" w:hAnsi="仿宋" w:eastAsia="仿宋"/>
          <w:color w:val="auto"/>
          <w:kern w:val="0"/>
          <w:sz w:val="30"/>
          <w:szCs w:val="30"/>
        </w:rPr>
        <w:t>应急照明系统切换装置消防控制信号的巡查、检测、维护、保养。</w:t>
      </w:r>
    </w:p>
    <w:p w14:paraId="46A78909">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（七）气体灭火系统：气体灭火控制主机、紧急启停按钮、放气指示灯、声光报警器、气瓶组、管道的巡查、检测、维护、保养。</w:t>
      </w:r>
    </w:p>
    <w:p w14:paraId="6D24E47E">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（八）防火分隔系统：防火卷帘及其控制装置的巡查、检测、维护、保养。</w:t>
      </w:r>
    </w:p>
    <w:p w14:paraId="2417B410">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（九）消防水池（水箱）及其附属设施（自动补水装置）、疏散指示灯的维护保养。通过联动测试，若发现电梯、风机、防火卷帘门、配电柜等设备本身出现故障，乙方应及时告知甲方，并协助甲方处理。</w:t>
      </w:r>
    </w:p>
    <w:p w14:paraId="3372EC38">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十）维保零配件、材料清单：每次维修、保养过程中，对损坏的低值易耗品（单价价值＜200元）乙方需进行免费更换（参考附件四）；对于维保过程中发现需要更换单价价值200元以上（含）的材料或零配件的，需书面通知甲方，甲方参考合同附件五《200 元以上付费材料清单》所示价格另行结算。</w:t>
      </w:r>
    </w:p>
    <w:p w14:paraId="6BEB7F60">
      <w:pPr>
        <w:keepNext w:val="0"/>
        <w:keepLines w:val="0"/>
        <w:pageBreakBefore w:val="0"/>
        <w:widowControl/>
        <w:tabs>
          <w:tab w:val="left" w:pos="851"/>
          <w:tab w:val="left" w:pos="1702"/>
        </w:tabs>
        <w:kinsoku/>
        <w:wordWrap/>
        <w:overflowPunct/>
        <w:topLinePunct w:val="0"/>
        <w:autoSpaceDE/>
        <w:autoSpaceDN/>
        <w:bidi w:val="0"/>
        <w:spacing w:before="156" w:line="47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第五条</w:t>
      </w:r>
      <w:r>
        <w:rPr>
          <w:rFonts w:ascii="仿宋" w:hAnsi="仿宋" w:eastAsia="仿宋"/>
          <w:b/>
          <w:color w:val="auto"/>
          <w:sz w:val="30"/>
          <w:szCs w:val="30"/>
        </w:rPr>
        <w:t xml:space="preserve"> </w:t>
      </w:r>
      <w:r>
        <w:rPr>
          <w:rFonts w:hint="eastAsia" w:ascii="仿宋" w:hAnsi="仿宋" w:eastAsia="仿宋"/>
          <w:b/>
          <w:color w:val="auto"/>
          <w:sz w:val="30"/>
          <w:szCs w:val="30"/>
        </w:rPr>
        <w:t>维护保养要求</w:t>
      </w:r>
    </w:p>
    <w:p w14:paraId="30B11EA4">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（一）乙方应严格按照国家相关消防规范及本合同约定实施维修保养；</w:t>
      </w:r>
    </w:p>
    <w:p w14:paraId="155E5BCF">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（二）乙方每周至少一天（全天，时间为9：00-18：00；人员两人以上）在</w:t>
      </w:r>
      <w:r>
        <w:rPr>
          <w:rFonts w:hint="eastAsia" w:ascii="仿宋" w:hAnsi="仿宋" w:eastAsia="仿宋"/>
          <w:color w:val="auto"/>
          <w:kern w:val="0"/>
          <w:sz w:val="30"/>
          <w:szCs w:val="30"/>
          <w:u w:val="single"/>
        </w:rPr>
        <w:t>青年公寓</w:t>
      </w:r>
      <w:r>
        <w:rPr>
          <w:rFonts w:hint="eastAsia" w:ascii="仿宋" w:hAnsi="仿宋" w:eastAsia="仿宋"/>
          <w:color w:val="auto"/>
          <w:kern w:val="0"/>
          <w:sz w:val="30"/>
          <w:szCs w:val="30"/>
          <w:u w:val="single"/>
          <w:lang w:val="en-US" w:eastAsia="zh-CN"/>
        </w:rPr>
        <w:t>及</w:t>
      </w:r>
      <w:r>
        <w:rPr>
          <w:rFonts w:hint="eastAsia" w:ascii="仿宋" w:hAnsi="仿宋" w:eastAsia="仿宋"/>
          <w:color w:val="auto"/>
          <w:kern w:val="0"/>
          <w:sz w:val="30"/>
          <w:szCs w:val="30"/>
          <w:u w:val="single"/>
        </w:rPr>
        <w:t>标准厂房</w:t>
      </w:r>
      <w:r>
        <w:rPr>
          <w:rFonts w:hint="eastAsia" w:ascii="仿宋" w:hAnsi="仿宋" w:eastAsia="仿宋"/>
          <w:color w:val="auto"/>
          <w:kern w:val="0"/>
          <w:sz w:val="30"/>
          <w:szCs w:val="30"/>
        </w:rPr>
        <w:t>项目对消防设备进行维护保养。一般故障</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lang w:val="en-US" w:eastAsia="zh-CN"/>
        </w:rPr>
        <w:t>小时内</w:t>
      </w:r>
      <w:r>
        <w:rPr>
          <w:rFonts w:hint="eastAsia" w:ascii="仿宋" w:hAnsi="仿宋" w:eastAsia="仿宋"/>
          <w:color w:val="auto"/>
          <w:kern w:val="0"/>
          <w:sz w:val="30"/>
          <w:szCs w:val="30"/>
        </w:rPr>
        <w:t>排除，较复杂的故障（如设备、线路故障）除外，应在</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小时内修复，特殊情况应及时书面向甲方提出申请，并征得甲方同意。否则甲方有权另行委托第三方修复，并视为乙方违约，每违约一次，甲方有权扣除当半年度服务费5%的违约金，合同期内违约累计达3次的，甲方有权单方解除本合同；</w:t>
      </w:r>
    </w:p>
    <w:p w14:paraId="34B90D86">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（三）设备完好率要求不低于85%（设备完好率定义：设备清单中数量，完好数量占全部总数的比例）；</w:t>
      </w:r>
    </w:p>
    <w:p w14:paraId="1A3353F1">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（四）维修及改造及时率要求不低于85%（维修及改造项目在要求或商定的时间内完成的件（次）占总申请（次）的比率）；维修合格率要求为95%，三个月内同一设备同配件故障返修率0%；</w:t>
      </w:r>
    </w:p>
    <w:p w14:paraId="483C4A2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（五）维修更换配件要求为原厂家原品牌原规格型号的产品。若因产品停产等特殊原因导致无法找到原品牌规格产品，应征得甲方同意后方可使用优于原产品的替代品牌；</w:t>
      </w:r>
    </w:p>
    <w:p w14:paraId="7712FB44">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（六）维护保养实施时，该项目消防系统应该具备维护保养条件。在乙方进场后</w:t>
      </w:r>
      <w:r>
        <w:rPr>
          <w:rFonts w:ascii="仿宋" w:hAnsi="仿宋" w:eastAsia="仿宋"/>
          <w:color w:val="auto"/>
          <w:kern w:val="0"/>
          <w:sz w:val="30"/>
          <w:szCs w:val="30"/>
          <w:u w:val="single"/>
        </w:rPr>
        <w:t xml:space="preserve"> 10 </w:t>
      </w:r>
      <w:r>
        <w:rPr>
          <w:rFonts w:hint="eastAsia" w:ascii="仿宋" w:hAnsi="仿宋" w:eastAsia="仿宋"/>
          <w:color w:val="auto"/>
          <w:kern w:val="0"/>
          <w:sz w:val="30"/>
          <w:szCs w:val="30"/>
        </w:rPr>
        <w:t>日内，根据项目消防系统运行的实际情况，双方共同制定整改方案，并经双方签字认可后，由乙方负责组织对进场前的遗留问题实施整改，费用由甲方负责协调，但前期是由乙方进行维保的，整改费用由乙方承担。在维护保养期间内，乙方必须确保维保范围内的消防系统及其设备的正常运行和使用。</w:t>
      </w:r>
    </w:p>
    <w:p w14:paraId="68730BDB">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七）在合同期内，乙方及维保人员依法具有消防维保资质、安全许可证、技术资格证等相应资质证书且持续合法有效。甲方认为维保人员不称职或有其他违反法律、合同约定时，有权要求乙方进行更换。乙方须将维保人员的身份证明、上岗证书、联系方式等书面材料报甲方备案。</w:t>
      </w:r>
    </w:p>
    <w:p w14:paraId="5D13F90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s="仿宋"/>
          <w:color w:val="auto"/>
          <w:sz w:val="30"/>
          <w:szCs w:val="30"/>
        </w:rPr>
      </w:pPr>
      <w:r>
        <w:rPr>
          <w:rFonts w:hint="eastAsia" w:ascii="仿宋" w:hAnsi="仿宋" w:eastAsia="仿宋"/>
          <w:color w:val="auto"/>
          <w:kern w:val="0"/>
          <w:sz w:val="30"/>
          <w:szCs w:val="30"/>
        </w:rPr>
        <w:t>（八）</w:t>
      </w:r>
      <w:r>
        <w:rPr>
          <w:rFonts w:hint="eastAsia" w:ascii="仿宋" w:hAnsi="仿宋" w:eastAsia="仿宋" w:cs="仿宋"/>
          <w:color w:val="auto"/>
          <w:sz w:val="30"/>
          <w:szCs w:val="30"/>
        </w:rPr>
        <w:t>在甲方有要求的情况下，乙方需要安排技术人员驻点，但驻点人员费用不包含在本合同金额内。驻点人员可以辐射周边项目，但在同时发生消防突发事件的情况下，需要优先保障甲方驻点项目的求援。</w:t>
      </w:r>
    </w:p>
    <w:p w14:paraId="24F56F3D">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s="仿宋"/>
          <w:color w:val="auto"/>
          <w:sz w:val="30"/>
          <w:szCs w:val="30"/>
        </w:rPr>
      </w:pPr>
      <w:r>
        <w:rPr>
          <w:rFonts w:hint="eastAsia" w:ascii="仿宋" w:hAnsi="仿宋" w:eastAsia="仿宋" w:cs="仿宋"/>
          <w:color w:val="auto"/>
          <w:sz w:val="30"/>
          <w:szCs w:val="30"/>
        </w:rPr>
        <w:t>（九）乙方维保人员应遵守甲方或甲方委托人的规章制度，在甲方项目应举止文明，对待甲方客户应有礼有节，维修、施工现场标识清晰，现场整洁、工完场清。乙方员工在甲方作业现场因不文明行为引起的相应责任由乙方承担。</w:t>
      </w:r>
    </w:p>
    <w:p w14:paraId="6F58EF1B">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（十）乙方按照国家及省、市有关消防维保法规、规范性文件要求和本合同约定（存在多种标准时，以标准要求高的规定或约定为准），乙方在进场维保后</w:t>
      </w:r>
      <w:r>
        <w:rPr>
          <w:rFonts w:ascii="仿宋" w:hAnsi="仿宋" w:eastAsia="仿宋"/>
          <w:color w:val="auto"/>
          <w:kern w:val="0"/>
          <w:sz w:val="30"/>
          <w:szCs w:val="30"/>
          <w:u w:val="single"/>
        </w:rPr>
        <w:t xml:space="preserve"> </w:t>
      </w:r>
      <w:r>
        <w:rPr>
          <w:rFonts w:hint="eastAsia" w:ascii="仿宋" w:hAnsi="仿宋" w:eastAsia="仿宋"/>
          <w:color w:val="auto"/>
          <w:kern w:val="0"/>
          <w:sz w:val="30"/>
          <w:szCs w:val="30"/>
          <w:u w:val="single"/>
        </w:rPr>
        <w:t>10</w:t>
      </w:r>
      <w:r>
        <w:rPr>
          <w:rFonts w:hint="eastAsia" w:ascii="仿宋" w:hAnsi="仿宋" w:eastAsia="仿宋"/>
          <w:color w:val="auto"/>
          <w:kern w:val="0"/>
          <w:sz w:val="30"/>
          <w:szCs w:val="30"/>
        </w:rPr>
        <w:t>个工作日内提交年度维保计划，并在每月</w:t>
      </w:r>
      <w:r>
        <w:rPr>
          <w:rFonts w:ascii="仿宋" w:hAnsi="仿宋" w:eastAsia="仿宋"/>
          <w:color w:val="auto"/>
          <w:kern w:val="0"/>
          <w:sz w:val="30"/>
          <w:szCs w:val="30"/>
          <w:u w:val="single"/>
        </w:rPr>
        <w:t xml:space="preserve"> 25</w:t>
      </w:r>
      <w:r>
        <w:rPr>
          <w:rFonts w:hint="eastAsia" w:ascii="仿宋" w:hAnsi="仿宋" w:eastAsia="仿宋"/>
          <w:color w:val="auto"/>
          <w:kern w:val="0"/>
          <w:sz w:val="30"/>
          <w:szCs w:val="30"/>
        </w:rPr>
        <w:t>日前提交下一月度维护保养方案、计划交甲方审核存档，乙方根据维护方案、计划进行消防设备设施周、月、季、年度维保工作并接受甲方监督检查及维保质量考核。</w:t>
      </w:r>
      <w:r>
        <w:rPr>
          <w:rFonts w:ascii="仿宋" w:hAnsi="仿宋" w:eastAsia="仿宋"/>
          <w:color w:val="auto"/>
          <w:kern w:val="0"/>
          <w:sz w:val="30"/>
          <w:szCs w:val="30"/>
        </w:rPr>
        <w:t xml:space="preserve"> </w:t>
      </w:r>
    </w:p>
    <w:p w14:paraId="5ABC5BE2">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rPr>
          <w:rFonts w:ascii="仿宋" w:hAnsi="仿宋" w:eastAsia="仿宋"/>
          <w:color w:val="auto"/>
          <w:kern w:val="0"/>
          <w:sz w:val="30"/>
          <w:szCs w:val="30"/>
        </w:rPr>
      </w:pPr>
      <w:r>
        <w:rPr>
          <w:rFonts w:hint="eastAsia" w:ascii="仿宋" w:hAnsi="仿宋" w:eastAsia="仿宋"/>
          <w:color w:val="auto"/>
          <w:kern w:val="0"/>
          <w:sz w:val="30"/>
          <w:szCs w:val="30"/>
        </w:rPr>
        <w:t>甲方每月对乙方工作进行评估并出具消防维保服务评估表（详见附件六），乙方须及时签字盖章确认，就评估表中不合格或建议项，甲方有权要求乙方提供整改方案措施并在指定时间内整改完毕，如乙方拒绝签字盖章确认，甲方有权按照季度消防维保质量服务评估结果进行相应的处理。</w:t>
      </w:r>
    </w:p>
    <w:p w14:paraId="3CB3F46D">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第六条</w:t>
      </w:r>
      <w:r>
        <w:rPr>
          <w:rFonts w:ascii="仿宋" w:hAnsi="仿宋" w:eastAsia="仿宋"/>
          <w:b/>
          <w:color w:val="auto"/>
          <w:sz w:val="30"/>
          <w:szCs w:val="30"/>
        </w:rPr>
        <w:t xml:space="preserve"> </w:t>
      </w:r>
      <w:r>
        <w:rPr>
          <w:rFonts w:hint="eastAsia" w:ascii="仿宋" w:hAnsi="仿宋" w:eastAsia="仿宋"/>
          <w:b/>
          <w:color w:val="auto"/>
          <w:sz w:val="30"/>
          <w:szCs w:val="30"/>
        </w:rPr>
        <w:t>履约保证金</w:t>
      </w:r>
    </w:p>
    <w:p w14:paraId="459F5D26">
      <w:pPr>
        <w:keepNext w:val="0"/>
        <w:keepLines w:val="0"/>
        <w:pageBreakBefore w:val="0"/>
        <w:widowControl w:val="0"/>
        <w:kinsoku/>
        <w:wordWrap/>
        <w:overflowPunct/>
        <w:topLinePunct w:val="0"/>
        <w:autoSpaceDE/>
        <w:autoSpaceDN/>
        <w:bidi w:val="0"/>
        <w:adjustRightInd/>
        <w:snapToGrid/>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w:t>
      </w:r>
      <w:r>
        <w:rPr>
          <w:rFonts w:ascii="仿宋" w:hAnsi="仿宋" w:eastAsia="仿宋"/>
          <w:color w:val="auto"/>
          <w:kern w:val="0"/>
          <w:sz w:val="30"/>
          <w:szCs w:val="30"/>
        </w:rPr>
        <w:t>履约保证金金额</w:t>
      </w:r>
      <w:r>
        <w:rPr>
          <w:rFonts w:hint="eastAsia" w:ascii="仿宋" w:hAnsi="仿宋" w:eastAsia="仿宋"/>
          <w:color w:val="auto"/>
          <w:kern w:val="0"/>
          <w:sz w:val="30"/>
          <w:szCs w:val="30"/>
        </w:rPr>
        <w:t>：乙方在本合同签订后</w:t>
      </w:r>
      <w:r>
        <w:rPr>
          <w:rFonts w:hint="eastAsia" w:ascii="仿宋" w:hAnsi="仿宋" w:eastAsia="仿宋"/>
          <w:color w:val="auto"/>
          <w:kern w:val="0"/>
          <w:sz w:val="30"/>
          <w:szCs w:val="30"/>
          <w:u w:val="single"/>
        </w:rPr>
        <w:t xml:space="preserve"> 10 </w:t>
      </w:r>
      <w:r>
        <w:rPr>
          <w:rFonts w:hint="eastAsia" w:ascii="仿宋" w:hAnsi="仿宋" w:eastAsia="仿宋"/>
          <w:color w:val="auto"/>
          <w:kern w:val="0"/>
          <w:sz w:val="30"/>
          <w:szCs w:val="30"/>
        </w:rPr>
        <w:t>日内应当按照合同总金额的</w:t>
      </w:r>
      <w:r>
        <w:rPr>
          <w:rFonts w:ascii="仿宋" w:hAnsi="仿宋" w:eastAsia="仿宋"/>
          <w:color w:val="auto"/>
          <w:kern w:val="0"/>
          <w:sz w:val="30"/>
          <w:szCs w:val="30"/>
          <w:u w:val="single"/>
        </w:rPr>
        <w:t xml:space="preserve"> 5% </w:t>
      </w:r>
      <w:r>
        <w:rPr>
          <w:rFonts w:hint="eastAsia" w:ascii="仿宋" w:hAnsi="仿宋" w:eastAsia="仿宋"/>
          <w:color w:val="auto"/>
          <w:kern w:val="0"/>
          <w:sz w:val="30"/>
          <w:szCs w:val="30"/>
        </w:rPr>
        <w:t>，即人民币共计</w:t>
      </w:r>
      <w:r>
        <w:rPr>
          <w:rFonts w:hint="eastAsia" w:ascii="仿宋" w:hAnsi="仿宋" w:eastAsia="仿宋"/>
          <w:color w:val="auto"/>
          <w:sz w:val="30"/>
          <w:szCs w:val="30"/>
        </w:rPr>
        <w:t>￥</w:t>
      </w:r>
      <w:r>
        <w:rPr>
          <w:rFonts w:hint="eastAsia" w:ascii="仿宋" w:hAnsi="仿宋" w:eastAsia="仿宋"/>
          <w:color w:val="auto"/>
          <w:sz w:val="30"/>
          <w:szCs w:val="30"/>
          <w:u w:val="single"/>
        </w:rPr>
        <w:t xml:space="preserve"> </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元（大写</w:t>
      </w:r>
      <w:r>
        <w:rPr>
          <w:rFonts w:hint="eastAsia" w:ascii="仿宋" w:hAnsi="仿宋" w:eastAsia="仿宋"/>
          <w:color w:val="auto"/>
          <w:kern w:val="0"/>
          <w:sz w:val="30"/>
          <w:szCs w:val="30"/>
        </w:rPr>
        <w:t>人民币：</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）作为履约保证金交付给甲方，甲方向乙方开具财务收款收据。</w:t>
      </w:r>
    </w:p>
    <w:p w14:paraId="2B05B6B4">
      <w:pPr>
        <w:keepNext w:val="0"/>
        <w:keepLines w:val="0"/>
        <w:pageBreakBefore w:val="0"/>
        <w:widowControl w:val="0"/>
        <w:kinsoku/>
        <w:wordWrap/>
        <w:overflowPunct/>
        <w:topLinePunct w:val="0"/>
        <w:autoSpaceDE/>
        <w:autoSpaceDN/>
        <w:bidi w:val="0"/>
        <w:adjustRightInd/>
        <w:snapToGrid/>
        <w:spacing w:line="470" w:lineRule="exact"/>
        <w:ind w:firstLine="450" w:firstLineChars="15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（二）</w:t>
      </w:r>
      <w:r>
        <w:rPr>
          <w:rFonts w:ascii="仿宋" w:hAnsi="仿宋" w:eastAsia="仿宋"/>
          <w:color w:val="auto"/>
          <w:kern w:val="0"/>
          <w:sz w:val="30"/>
          <w:szCs w:val="30"/>
        </w:rPr>
        <w:t>履约保证金的保证范围：包括但不限于合同约定的乙方违约责任、乙方给甲方或第三方造成的人身或财产损失或行政、刑事赔偿、罚款</w:t>
      </w:r>
      <w:r>
        <w:rPr>
          <w:rFonts w:hint="eastAsia" w:ascii="仿宋" w:hAnsi="仿宋" w:eastAsia="仿宋"/>
          <w:color w:val="auto"/>
          <w:kern w:val="0"/>
          <w:sz w:val="30"/>
          <w:szCs w:val="30"/>
        </w:rPr>
        <w:t>、罚金、滞纳金</w:t>
      </w:r>
      <w:r>
        <w:rPr>
          <w:rFonts w:ascii="仿宋" w:hAnsi="仿宋" w:eastAsia="仿宋"/>
          <w:color w:val="auto"/>
          <w:kern w:val="0"/>
          <w:sz w:val="30"/>
          <w:szCs w:val="30"/>
        </w:rPr>
        <w:t>等。</w:t>
      </w:r>
    </w:p>
    <w:p w14:paraId="62222FF9">
      <w:pPr>
        <w:keepNext w:val="0"/>
        <w:keepLines w:val="0"/>
        <w:pageBreakBefore w:val="0"/>
        <w:widowControl w:val="0"/>
        <w:kinsoku/>
        <w:wordWrap/>
        <w:overflowPunct/>
        <w:topLinePunct w:val="0"/>
        <w:autoSpaceDE/>
        <w:autoSpaceDN/>
        <w:bidi w:val="0"/>
        <w:adjustRightInd/>
        <w:snapToGrid/>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w:t>
      </w:r>
      <w:r>
        <w:rPr>
          <w:rFonts w:ascii="仿宋" w:hAnsi="仿宋" w:eastAsia="仿宋"/>
          <w:color w:val="auto"/>
          <w:kern w:val="0"/>
          <w:sz w:val="30"/>
          <w:szCs w:val="30"/>
        </w:rPr>
        <w:t>履约保证金的使用及退还</w:t>
      </w:r>
    </w:p>
    <w:p w14:paraId="45EF5203">
      <w:pPr>
        <w:keepNext w:val="0"/>
        <w:keepLines w:val="0"/>
        <w:pageBreakBefore w:val="0"/>
        <w:kinsoku/>
        <w:wordWrap/>
        <w:overflowPunct/>
        <w:topLinePunct w:val="0"/>
        <w:autoSpaceDE/>
        <w:autoSpaceDN/>
        <w:bidi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1、</w:t>
      </w:r>
      <w:r>
        <w:rPr>
          <w:rFonts w:ascii="仿宋" w:hAnsi="仿宋" w:eastAsia="仿宋"/>
          <w:color w:val="auto"/>
          <w:kern w:val="0"/>
          <w:sz w:val="30"/>
          <w:szCs w:val="30"/>
        </w:rPr>
        <w:t>乙方出现本合同约定情形（包括但不限于乙方违约、甲方垫付款项、甲方产生维权费用及其他</w:t>
      </w:r>
      <w:r>
        <w:rPr>
          <w:rFonts w:hint="eastAsia" w:ascii="仿宋" w:hAnsi="仿宋" w:eastAsia="仿宋"/>
          <w:color w:val="auto"/>
          <w:kern w:val="0"/>
          <w:sz w:val="30"/>
          <w:szCs w:val="30"/>
        </w:rPr>
        <w:t>一切</w:t>
      </w:r>
      <w:r>
        <w:rPr>
          <w:rFonts w:ascii="仿宋" w:hAnsi="仿宋" w:eastAsia="仿宋"/>
          <w:color w:val="auto"/>
          <w:kern w:val="0"/>
          <w:sz w:val="30"/>
          <w:szCs w:val="30"/>
        </w:rPr>
        <w:t>损失）的，甲方有权直接扣减乙方的履约保证金，当履约保证金数额不足时，乙方应当在接到甲方通知之日起三日内补足，否则乙方行为构成违约，甲方有权根据合同约定要求乙方承担违约责任，且甲方有权单方解除合同。</w:t>
      </w:r>
    </w:p>
    <w:p w14:paraId="3A4606D1">
      <w:pPr>
        <w:keepNext w:val="0"/>
        <w:keepLines w:val="0"/>
        <w:pageBreakBefore w:val="0"/>
        <w:kinsoku/>
        <w:wordWrap/>
        <w:overflowPunct/>
        <w:topLinePunct w:val="0"/>
        <w:autoSpaceDE/>
        <w:autoSpaceDN/>
        <w:bidi w:val="0"/>
        <w:spacing w:line="47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2、</w:t>
      </w:r>
      <w:r>
        <w:rPr>
          <w:rFonts w:ascii="仿宋" w:hAnsi="仿宋" w:eastAsia="仿宋"/>
          <w:color w:val="auto"/>
          <w:kern w:val="0"/>
          <w:sz w:val="30"/>
          <w:szCs w:val="30"/>
        </w:rPr>
        <w:t>乙方应当在本合同约定的义务履行完毕之日起凭履约保证金收款收据原件向甲方提交退款申请，甲方核实无误并确认合同履行完毕后</w:t>
      </w:r>
      <w:r>
        <w:rPr>
          <w:rFonts w:hint="eastAsia" w:ascii="仿宋" w:hAnsi="仿宋" w:eastAsia="仿宋"/>
          <w:color w:val="auto"/>
          <w:kern w:val="0"/>
          <w:sz w:val="30"/>
          <w:szCs w:val="30"/>
          <w:u w:val="single"/>
        </w:rPr>
        <w:t xml:space="preserve"> 20 </w:t>
      </w:r>
      <w:r>
        <w:rPr>
          <w:rFonts w:hint="eastAsia" w:ascii="仿宋" w:hAnsi="仿宋" w:eastAsia="仿宋"/>
          <w:color w:val="auto"/>
          <w:kern w:val="0"/>
          <w:sz w:val="30"/>
          <w:szCs w:val="30"/>
        </w:rPr>
        <w:t>个</w:t>
      </w:r>
      <w:r>
        <w:rPr>
          <w:rFonts w:ascii="仿宋" w:hAnsi="仿宋" w:eastAsia="仿宋"/>
          <w:color w:val="auto"/>
          <w:kern w:val="0"/>
          <w:sz w:val="30"/>
          <w:szCs w:val="30"/>
        </w:rPr>
        <w:t>工作日内将履约保证金无息退还给乙方。</w:t>
      </w:r>
    </w:p>
    <w:p w14:paraId="7CAECE97">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第七条</w:t>
      </w:r>
      <w:r>
        <w:rPr>
          <w:rFonts w:ascii="仿宋" w:hAnsi="仿宋" w:eastAsia="仿宋"/>
          <w:b/>
          <w:color w:val="auto"/>
          <w:sz w:val="30"/>
          <w:szCs w:val="30"/>
        </w:rPr>
        <w:t xml:space="preserve"> 合同金额、付款方式</w:t>
      </w:r>
    </w:p>
    <w:p w14:paraId="1509E0E9">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w:t>
      </w:r>
      <w:r>
        <w:rPr>
          <w:rFonts w:ascii="仿宋" w:hAnsi="仿宋" w:eastAsia="仿宋"/>
          <w:color w:val="auto"/>
          <w:kern w:val="0"/>
          <w:sz w:val="30"/>
          <w:szCs w:val="30"/>
        </w:rPr>
        <w:t>合同金额：</w:t>
      </w:r>
      <w:r>
        <w:rPr>
          <w:rFonts w:hint="eastAsia" w:ascii="仿宋" w:hAnsi="仿宋" w:eastAsia="仿宋"/>
          <w:color w:val="auto"/>
          <w:kern w:val="0"/>
          <w:sz w:val="30"/>
          <w:szCs w:val="30"/>
        </w:rPr>
        <w:t>合同期内</w:t>
      </w:r>
      <w:r>
        <w:rPr>
          <w:rFonts w:ascii="仿宋" w:hAnsi="仿宋" w:eastAsia="仿宋"/>
          <w:color w:val="auto"/>
          <w:kern w:val="0"/>
          <w:sz w:val="30"/>
          <w:szCs w:val="30"/>
        </w:rPr>
        <w:t>维保服务费用</w:t>
      </w:r>
      <w:r>
        <w:rPr>
          <w:rFonts w:hint="eastAsia" w:ascii="仿宋" w:hAnsi="仿宋" w:eastAsia="仿宋"/>
          <w:color w:val="auto"/>
          <w:kern w:val="0"/>
          <w:sz w:val="30"/>
          <w:szCs w:val="30"/>
        </w:rPr>
        <w:t>含税价</w:t>
      </w:r>
      <w:bookmarkStart w:id="2" w:name="OLE_LINK2"/>
      <w:bookmarkStart w:id="3" w:name="OLE_LINK1"/>
      <w:r>
        <w:rPr>
          <w:rFonts w:hint="eastAsia" w:ascii="仿宋" w:hAnsi="仿宋" w:eastAsia="仿宋"/>
          <w:color w:val="auto"/>
          <w:kern w:val="0"/>
          <w:sz w:val="30"/>
          <w:szCs w:val="30"/>
        </w:rPr>
        <w:t>为：￥</w:t>
      </w:r>
      <w:bookmarkEnd w:id="2"/>
      <w:bookmarkEnd w:id="3"/>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元（大写人民币</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）。其中：税金为￥</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元</w:t>
      </w:r>
      <w:r>
        <w:rPr>
          <w:rFonts w:hint="eastAsia" w:ascii="仿宋" w:hAnsi="仿宋" w:eastAsia="仿宋"/>
          <w:color w:val="auto"/>
          <w:kern w:val="0"/>
          <w:sz w:val="30"/>
          <w:szCs w:val="30"/>
        </w:rPr>
        <w:t>，不含税金额为￥</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元</w:t>
      </w:r>
      <w:r>
        <w:rPr>
          <w:rFonts w:hint="eastAsia" w:ascii="仿宋" w:hAnsi="仿宋" w:eastAsia="仿宋"/>
          <w:color w:val="auto"/>
          <w:kern w:val="0"/>
          <w:sz w:val="30"/>
          <w:szCs w:val="30"/>
        </w:rPr>
        <w:t>。</w:t>
      </w:r>
      <w:r>
        <w:rPr>
          <w:rFonts w:ascii="仿宋" w:hAnsi="仿宋" w:eastAsia="仿宋"/>
          <w:color w:val="auto"/>
          <w:kern w:val="0"/>
          <w:sz w:val="30"/>
          <w:szCs w:val="30"/>
        </w:rPr>
        <w:t>以上维保费用包括但不限于维保人员人工费用、技术服务费、按合同约定由乙方承担的维保材料费用、乙方维保人员的人身安全保险费用、乙方向甲方提供培训的费用、利润、税金等</w:t>
      </w:r>
      <w:r>
        <w:rPr>
          <w:rFonts w:hint="eastAsia" w:ascii="仿宋" w:hAnsi="仿宋" w:eastAsia="仿宋"/>
          <w:color w:val="auto"/>
          <w:kern w:val="0"/>
          <w:sz w:val="30"/>
          <w:szCs w:val="30"/>
        </w:rPr>
        <w:t>乙方完成本合同项下全部义务的所有费用</w:t>
      </w:r>
      <w:r>
        <w:rPr>
          <w:rFonts w:ascii="仿宋" w:hAnsi="仿宋" w:eastAsia="仿宋"/>
          <w:color w:val="auto"/>
          <w:kern w:val="0"/>
          <w:sz w:val="30"/>
          <w:szCs w:val="30"/>
        </w:rPr>
        <w:t>。</w:t>
      </w:r>
    </w:p>
    <w:p w14:paraId="1C12C51E">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（二）</w:t>
      </w:r>
      <w:r>
        <w:rPr>
          <w:rFonts w:ascii="仿宋" w:hAnsi="仿宋" w:eastAsia="仿宋"/>
          <w:color w:val="auto"/>
          <w:kern w:val="0"/>
          <w:sz w:val="30"/>
          <w:szCs w:val="30"/>
        </w:rPr>
        <w:t>付款方式：</w:t>
      </w:r>
    </w:p>
    <w:p w14:paraId="45D7A9D9">
      <w:pPr>
        <w:keepNext w:val="0"/>
        <w:keepLines w:val="0"/>
        <w:pageBreakBefore w:val="0"/>
        <w:widowControl/>
        <w:kinsoku/>
        <w:wordWrap/>
        <w:overflowPunct/>
        <w:topLinePunct w:val="0"/>
        <w:autoSpaceDE/>
        <w:autoSpaceDN/>
        <w:bidi w:val="0"/>
        <w:adjustRightInd w:val="0"/>
        <w:snapToGrid w:val="0"/>
        <w:spacing w:line="470" w:lineRule="exact"/>
        <w:ind w:right="-483" w:rightChars="-23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1、甲</w:t>
      </w:r>
      <w:r>
        <w:rPr>
          <w:rFonts w:ascii="仿宋" w:hAnsi="仿宋" w:eastAsia="仿宋"/>
          <w:color w:val="auto"/>
          <w:kern w:val="0"/>
          <w:sz w:val="30"/>
          <w:szCs w:val="30"/>
        </w:rPr>
        <w:t>方</w:t>
      </w:r>
      <w:r>
        <w:rPr>
          <w:rFonts w:hint="eastAsia" w:ascii="仿宋" w:hAnsi="仿宋" w:eastAsia="仿宋"/>
          <w:color w:val="auto"/>
          <w:kern w:val="0"/>
          <w:sz w:val="30"/>
          <w:szCs w:val="30"/>
        </w:rPr>
        <w:t>按</w:t>
      </w:r>
      <w:r>
        <w:rPr>
          <w:rFonts w:ascii="仿宋" w:hAnsi="仿宋" w:eastAsia="仿宋"/>
          <w:color w:val="auto"/>
          <w:kern w:val="0"/>
          <w:sz w:val="30"/>
          <w:szCs w:val="30"/>
          <w:u w:val="single"/>
        </w:rPr>
        <w:t xml:space="preserve"> </w:t>
      </w:r>
      <w:r>
        <w:rPr>
          <w:rFonts w:hint="eastAsia" w:ascii="仿宋" w:hAnsi="仿宋" w:eastAsia="仿宋"/>
          <w:color w:val="auto"/>
          <w:kern w:val="0"/>
          <w:sz w:val="30"/>
          <w:szCs w:val="30"/>
          <w:u w:val="single"/>
        </w:rPr>
        <w:t xml:space="preserve">半年度 </w:t>
      </w:r>
      <w:r>
        <w:rPr>
          <w:rFonts w:ascii="仿宋" w:hAnsi="仿宋" w:eastAsia="仿宋"/>
          <w:color w:val="auto"/>
          <w:kern w:val="0"/>
          <w:sz w:val="30"/>
          <w:szCs w:val="30"/>
        </w:rPr>
        <w:t>结算乙方的服务费用。其中</w:t>
      </w:r>
      <w:r>
        <w:rPr>
          <w:rFonts w:hint="eastAsia" w:ascii="仿宋" w:hAnsi="仿宋" w:eastAsia="仿宋"/>
          <w:color w:val="auto"/>
          <w:kern w:val="0"/>
          <w:sz w:val="30"/>
          <w:szCs w:val="30"/>
        </w:rPr>
        <w:t>标准厂房</w:t>
      </w:r>
      <w:r>
        <w:rPr>
          <w:rFonts w:ascii="仿宋" w:hAnsi="仿宋" w:eastAsia="仿宋"/>
          <w:color w:val="auto"/>
          <w:kern w:val="0"/>
          <w:sz w:val="30"/>
          <w:szCs w:val="30"/>
        </w:rPr>
        <w:t>项目</w:t>
      </w:r>
      <w:r>
        <w:rPr>
          <w:rFonts w:hint="eastAsia" w:ascii="仿宋" w:hAnsi="仿宋" w:eastAsia="仿宋"/>
          <w:color w:val="auto"/>
          <w:kern w:val="0"/>
          <w:sz w:val="30"/>
          <w:szCs w:val="30"/>
        </w:rPr>
        <w:t>半年</w:t>
      </w:r>
      <w:r>
        <w:rPr>
          <w:rFonts w:ascii="仿宋" w:hAnsi="仿宋" w:eastAsia="仿宋"/>
          <w:color w:val="auto"/>
          <w:kern w:val="0"/>
          <w:sz w:val="30"/>
          <w:szCs w:val="30"/>
        </w:rPr>
        <w:t>度含税服务费为</w:t>
      </w:r>
      <w:r>
        <w:rPr>
          <w:rFonts w:hint="eastAsia" w:ascii="仿宋" w:hAnsi="仿宋" w:eastAsia="仿宋"/>
          <w:color w:val="auto"/>
          <w:kern w:val="0"/>
          <w:sz w:val="30"/>
          <w:szCs w:val="30"/>
        </w:rPr>
        <w:t>￥</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元（大写人民币：</w:t>
      </w:r>
      <w:r>
        <w:rPr>
          <w:rFonts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ascii="仿宋" w:hAnsi="仿宋" w:eastAsia="仿宋"/>
          <w:color w:val="auto"/>
          <w:kern w:val="0"/>
          <w:sz w:val="30"/>
          <w:szCs w:val="30"/>
          <w:u w:val="single"/>
        </w:rPr>
        <w:t>)</w:t>
      </w:r>
      <w:r>
        <w:rPr>
          <w:rFonts w:hint="eastAsia" w:ascii="仿宋" w:hAnsi="仿宋" w:eastAsia="仿宋"/>
          <w:color w:val="auto"/>
          <w:kern w:val="0"/>
          <w:sz w:val="30"/>
          <w:szCs w:val="30"/>
        </w:rPr>
        <w:t>，青年公寓</w:t>
      </w:r>
      <w:r>
        <w:rPr>
          <w:rFonts w:ascii="仿宋" w:hAnsi="仿宋" w:eastAsia="仿宋"/>
          <w:color w:val="auto"/>
          <w:kern w:val="0"/>
          <w:sz w:val="30"/>
          <w:szCs w:val="30"/>
        </w:rPr>
        <w:t>项目</w:t>
      </w:r>
      <w:r>
        <w:rPr>
          <w:rFonts w:hint="eastAsia" w:ascii="仿宋" w:hAnsi="仿宋" w:eastAsia="仿宋"/>
          <w:color w:val="auto"/>
          <w:kern w:val="0"/>
          <w:sz w:val="30"/>
          <w:szCs w:val="30"/>
        </w:rPr>
        <w:t>半年</w:t>
      </w:r>
      <w:r>
        <w:rPr>
          <w:rFonts w:ascii="仿宋" w:hAnsi="仿宋" w:eastAsia="仿宋"/>
          <w:color w:val="auto"/>
          <w:kern w:val="0"/>
          <w:sz w:val="30"/>
          <w:szCs w:val="30"/>
        </w:rPr>
        <w:t>度含税服务费为</w:t>
      </w:r>
      <w:r>
        <w:rPr>
          <w:rFonts w:hint="eastAsia" w:ascii="仿宋" w:hAnsi="仿宋" w:eastAsia="仿宋"/>
          <w:color w:val="auto"/>
          <w:kern w:val="0"/>
          <w:sz w:val="30"/>
          <w:szCs w:val="30"/>
        </w:rPr>
        <w:t>￥</w:t>
      </w:r>
      <w:r>
        <w:rPr>
          <w:rFonts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rPr>
        <w:t>元（大写人民币：</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rPr>
        <w:t>）。乙方每月提交月度维保报告（维保报告模板详见附件二），季度维保周期工作结束后，甲方根据乙方保养工作情况打分评价（消防系统维保服务季度考核评分标准详见附件三、六），季度评价</w:t>
      </w:r>
      <w:r>
        <w:rPr>
          <w:rFonts w:hint="eastAsia" w:ascii="仿宋" w:hAnsi="仿宋" w:eastAsia="仿宋"/>
          <w:color w:val="auto"/>
          <w:kern w:val="0"/>
          <w:sz w:val="30"/>
          <w:szCs w:val="30"/>
          <w:u w:val="single"/>
        </w:rPr>
        <w:t xml:space="preserve"> 85分 </w:t>
      </w:r>
      <w:r>
        <w:rPr>
          <w:rFonts w:hint="eastAsia" w:ascii="仿宋" w:hAnsi="仿宋" w:eastAsia="仿宋"/>
          <w:color w:val="auto"/>
          <w:kern w:val="0"/>
          <w:sz w:val="30"/>
          <w:szCs w:val="30"/>
        </w:rPr>
        <w:t>以上全额支付上季度维保费，低于</w:t>
      </w:r>
      <w:r>
        <w:rPr>
          <w:rFonts w:hint="eastAsia" w:ascii="仿宋" w:hAnsi="仿宋" w:eastAsia="仿宋"/>
          <w:color w:val="auto"/>
          <w:kern w:val="0"/>
          <w:sz w:val="30"/>
          <w:szCs w:val="30"/>
          <w:u w:val="single"/>
        </w:rPr>
        <w:t xml:space="preserve"> 85分</w:t>
      </w:r>
      <w:r>
        <w:rPr>
          <w:rFonts w:hint="eastAsia" w:ascii="仿宋" w:hAnsi="仿宋" w:eastAsia="仿宋"/>
          <w:color w:val="auto"/>
          <w:kern w:val="0"/>
          <w:sz w:val="30"/>
          <w:szCs w:val="30"/>
        </w:rPr>
        <w:t xml:space="preserve"> ，按每低</w:t>
      </w:r>
      <w:r>
        <w:rPr>
          <w:rFonts w:hint="eastAsia" w:ascii="仿宋" w:hAnsi="仿宋" w:eastAsia="仿宋"/>
          <w:color w:val="auto"/>
          <w:kern w:val="0"/>
          <w:sz w:val="30"/>
          <w:szCs w:val="30"/>
          <w:u w:val="single"/>
        </w:rPr>
        <w:t xml:space="preserve"> 1分 </w:t>
      </w:r>
      <w:r>
        <w:rPr>
          <w:rFonts w:hint="eastAsia" w:ascii="仿宋" w:hAnsi="仿宋" w:eastAsia="仿宋"/>
          <w:color w:val="auto"/>
          <w:kern w:val="0"/>
          <w:sz w:val="30"/>
          <w:szCs w:val="30"/>
        </w:rPr>
        <w:t>扣除当季度含税维保服务费</w:t>
      </w:r>
      <w:r>
        <w:rPr>
          <w:rFonts w:hint="eastAsia" w:ascii="仿宋" w:hAnsi="仿宋" w:eastAsia="仿宋"/>
          <w:color w:val="auto"/>
          <w:kern w:val="0"/>
          <w:sz w:val="30"/>
          <w:szCs w:val="30"/>
          <w:u w:val="single"/>
        </w:rPr>
        <w:t xml:space="preserve"> 1% </w:t>
      </w:r>
      <w:r>
        <w:rPr>
          <w:rFonts w:hint="eastAsia" w:ascii="仿宋" w:hAnsi="仿宋" w:eastAsia="仿宋"/>
          <w:color w:val="auto"/>
          <w:kern w:val="0"/>
          <w:sz w:val="30"/>
          <w:szCs w:val="30"/>
        </w:rPr>
        <w:t>计算，并在支付时扣减结算。</w:t>
      </w:r>
    </w:p>
    <w:p w14:paraId="286FE0C1">
      <w:pPr>
        <w:keepNext w:val="0"/>
        <w:keepLines w:val="0"/>
        <w:pageBreakBefore w:val="0"/>
        <w:widowControl/>
        <w:kinsoku/>
        <w:wordWrap/>
        <w:overflowPunct/>
        <w:topLinePunct w:val="0"/>
        <w:autoSpaceDE/>
        <w:autoSpaceDN/>
        <w:bidi w:val="0"/>
        <w:adjustRightInd w:val="0"/>
        <w:snapToGrid w:val="0"/>
        <w:spacing w:line="470" w:lineRule="exact"/>
        <w:ind w:right="-483" w:rightChars="-23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2、本合同终止或解除前，如果乙方尚有未解决的相关违约、赔偿等纠纷，则甲方有权顺延支付合同终止或解除前应付而未付给乙方的合同款项，且不视为甲方违约。待相关违约、赔偿等纠纷处理完毕，甲方扣除违约金、赔偿金等费用后将剩余合同款项支付给乙方；如前述应付而未付的合同款项不足抵扣乙方应承担的违约金、赔偿金等费用的，则乙方应全额赔偿给甲方。</w:t>
      </w:r>
    </w:p>
    <w:p w14:paraId="5671451E">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3、</w:t>
      </w:r>
      <w:r>
        <w:rPr>
          <w:rFonts w:ascii="仿宋" w:hAnsi="仿宋" w:eastAsia="仿宋"/>
          <w:color w:val="auto"/>
          <w:kern w:val="0"/>
          <w:sz w:val="30"/>
          <w:szCs w:val="30"/>
        </w:rPr>
        <w:t>乙方须在</w:t>
      </w:r>
      <w:r>
        <w:rPr>
          <w:rFonts w:hint="eastAsia" w:ascii="仿宋" w:hAnsi="仿宋" w:eastAsia="仿宋"/>
          <w:color w:val="auto"/>
          <w:kern w:val="0"/>
          <w:sz w:val="30"/>
          <w:szCs w:val="30"/>
        </w:rPr>
        <w:t>半年</w:t>
      </w:r>
      <w:r>
        <w:rPr>
          <w:rFonts w:ascii="仿宋" w:hAnsi="仿宋" w:eastAsia="仿宋"/>
          <w:color w:val="auto"/>
          <w:kern w:val="0"/>
          <w:sz w:val="30"/>
          <w:szCs w:val="30"/>
        </w:rPr>
        <w:t>度维保周期工作结束并由甲方验收合格后</w:t>
      </w:r>
      <w:r>
        <w:rPr>
          <w:rFonts w:ascii="仿宋" w:hAnsi="仿宋" w:eastAsia="仿宋"/>
          <w:color w:val="auto"/>
          <w:kern w:val="0"/>
          <w:sz w:val="30"/>
          <w:szCs w:val="30"/>
          <w:u w:val="single"/>
        </w:rPr>
        <w:t xml:space="preserve"> 15个自然日 </w:t>
      </w:r>
      <w:r>
        <w:rPr>
          <w:rFonts w:hint="eastAsia" w:ascii="仿宋" w:hAnsi="仿宋" w:eastAsia="仿宋"/>
          <w:color w:val="auto"/>
          <w:kern w:val="0"/>
          <w:sz w:val="30"/>
          <w:szCs w:val="30"/>
        </w:rPr>
        <w:t>内开具并</w:t>
      </w:r>
      <w:r>
        <w:rPr>
          <w:rFonts w:ascii="仿宋" w:hAnsi="仿宋" w:eastAsia="仿宋"/>
          <w:color w:val="auto"/>
          <w:kern w:val="0"/>
          <w:sz w:val="30"/>
          <w:szCs w:val="30"/>
        </w:rPr>
        <w:t>提供与结算金额等额且合法有效增值税专用发票，甲方审核无误后</w:t>
      </w:r>
      <w:r>
        <w:rPr>
          <w:rFonts w:ascii="仿宋" w:hAnsi="仿宋" w:eastAsia="仿宋"/>
          <w:color w:val="auto"/>
          <w:kern w:val="0"/>
          <w:sz w:val="30"/>
          <w:szCs w:val="30"/>
          <w:u w:val="single"/>
        </w:rPr>
        <w:t xml:space="preserve"> 30日 </w:t>
      </w:r>
      <w:r>
        <w:rPr>
          <w:rFonts w:hint="eastAsia" w:ascii="仿宋" w:hAnsi="仿宋" w:eastAsia="仿宋"/>
          <w:color w:val="auto"/>
          <w:kern w:val="0"/>
          <w:sz w:val="30"/>
          <w:szCs w:val="30"/>
        </w:rPr>
        <w:t>内付款，乙方相应增值税专用发票应在开具后的</w:t>
      </w:r>
      <w:r>
        <w:rPr>
          <w:rFonts w:ascii="仿宋" w:hAnsi="仿宋" w:eastAsia="仿宋"/>
          <w:color w:val="auto"/>
          <w:kern w:val="0"/>
          <w:sz w:val="30"/>
          <w:szCs w:val="30"/>
          <w:u w:val="single"/>
        </w:rPr>
        <w:t xml:space="preserve"> 15个自然日 </w:t>
      </w:r>
      <w:r>
        <w:rPr>
          <w:rFonts w:hint="eastAsia" w:ascii="仿宋" w:hAnsi="仿宋" w:eastAsia="仿宋"/>
          <w:color w:val="auto"/>
          <w:kern w:val="0"/>
          <w:sz w:val="30"/>
          <w:szCs w:val="30"/>
        </w:rPr>
        <w:t>内提交至甲方，否则甲方有权拒收发票，并不承担任何违约责任，</w:t>
      </w:r>
      <w:r>
        <w:rPr>
          <w:rFonts w:ascii="仿宋" w:hAnsi="仿宋" w:eastAsia="仿宋"/>
          <w:color w:val="auto"/>
          <w:kern w:val="0"/>
          <w:sz w:val="30"/>
          <w:szCs w:val="30"/>
        </w:rPr>
        <w:t>如乙方未提供或提供发票无效的，甲方可以迟延付款至乙方提供符合要求的资料之后。</w:t>
      </w:r>
    </w:p>
    <w:p w14:paraId="6F264BF4">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乙方银行账户信息如下：</w:t>
      </w:r>
    </w:p>
    <w:p w14:paraId="307D2084">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开 户 行：</w:t>
      </w:r>
    </w:p>
    <w:p w14:paraId="1497AF80">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开户名称：</w:t>
      </w:r>
    </w:p>
    <w:p w14:paraId="77890ECA">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开户账号：</w:t>
      </w:r>
    </w:p>
    <w:p w14:paraId="10E81EA6">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甲方增值税专票开票信息如下：</w:t>
      </w:r>
    </w:p>
    <w:p w14:paraId="577CF81F">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公司名称：广西中马钦州产业园区开发有限公司</w:t>
      </w:r>
    </w:p>
    <w:p w14:paraId="3C66DA80">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公司税号：91450700083610268U</w:t>
      </w:r>
    </w:p>
    <w:p w14:paraId="04325E93">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开户银行及帐号：中国建设银行股份有限公司钦州港区支行45001659851059118168</w:t>
      </w:r>
    </w:p>
    <w:p w14:paraId="5F7FB74F">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地址：广西壮族自治区钦州市中马钦州产业园区友谊大道88号中马广场5号写字楼19层</w:t>
      </w:r>
    </w:p>
    <w:p w14:paraId="5ED4E946">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电话：0777-5988988</w:t>
      </w:r>
    </w:p>
    <w:p w14:paraId="42B753B7">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4、如由于乙方不能按照本合同的约定开具并提交增值税发票或其他乙方原因造成甲方因无法抵扣增值税及相应税额而蒙受经济损失，则乙方应承担赔偿责任。甲方有权自应付价款中优先扣除乙方应支付的赔偿金。</w:t>
      </w:r>
    </w:p>
    <w:p w14:paraId="15E36AAC">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5、</w:t>
      </w:r>
      <w:r>
        <w:rPr>
          <w:rFonts w:ascii="仿宋" w:hAnsi="仿宋" w:eastAsia="仿宋"/>
          <w:color w:val="auto"/>
          <w:kern w:val="0"/>
          <w:sz w:val="30"/>
          <w:szCs w:val="30"/>
        </w:rPr>
        <w:t>甲方与乙方的价款结算只能通过甲方的账户与乙方的账户进行划转，不能通过此外的任何第三方账户进行价款结算。</w:t>
      </w:r>
    </w:p>
    <w:p w14:paraId="1393EEEA">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6、</w:t>
      </w:r>
      <w:r>
        <w:rPr>
          <w:rFonts w:ascii="仿宋" w:hAnsi="仿宋" w:eastAsia="仿宋"/>
          <w:color w:val="auto"/>
          <w:kern w:val="0"/>
          <w:sz w:val="30"/>
          <w:szCs w:val="30"/>
        </w:rPr>
        <w:t>乙方开具的增值税专用发票送达并经甲方签收后，若发生丢失，乙方应积极协助甲方，按照相关税收法规和文件的规定提供相应资料。</w:t>
      </w:r>
    </w:p>
    <w:p w14:paraId="4088647D">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color w:val="auto"/>
          <w:sz w:val="30"/>
          <w:szCs w:val="30"/>
        </w:rPr>
      </w:pPr>
      <w:bookmarkStart w:id="4" w:name="_Toc6871"/>
      <w:r>
        <w:rPr>
          <w:rFonts w:hint="eastAsia" w:ascii="仿宋" w:hAnsi="仿宋" w:eastAsia="仿宋"/>
          <w:b/>
          <w:color w:val="auto"/>
          <w:sz w:val="30"/>
          <w:szCs w:val="30"/>
        </w:rPr>
        <w:t>第八条</w:t>
      </w:r>
      <w:r>
        <w:rPr>
          <w:rFonts w:ascii="仿宋" w:hAnsi="仿宋" w:eastAsia="仿宋"/>
          <w:b/>
          <w:color w:val="auto"/>
          <w:sz w:val="30"/>
          <w:szCs w:val="30"/>
        </w:rPr>
        <w:t xml:space="preserve"> </w:t>
      </w:r>
      <w:r>
        <w:rPr>
          <w:rFonts w:hint="eastAsia" w:ascii="仿宋" w:hAnsi="仿宋" w:eastAsia="仿宋"/>
          <w:b/>
          <w:color w:val="auto"/>
          <w:sz w:val="30"/>
          <w:szCs w:val="30"/>
        </w:rPr>
        <w:t>甲方的权利和义务</w:t>
      </w:r>
      <w:bookmarkEnd w:id="4"/>
    </w:p>
    <w:p w14:paraId="5183688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（一）甲方有权对乙方提供的各项管理制度及维保工作实施监督，并有权及时向乙方提出合理的要求和建议。</w:t>
      </w:r>
    </w:p>
    <w:p w14:paraId="5A5C0AFF">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kern w:val="0"/>
          <w:sz w:val="30"/>
          <w:szCs w:val="30"/>
        </w:rPr>
      </w:pPr>
      <w:r>
        <w:rPr>
          <w:rFonts w:ascii="仿宋" w:hAnsi="仿宋" w:eastAsia="仿宋"/>
          <w:color w:val="auto"/>
          <w:kern w:val="0"/>
          <w:sz w:val="30"/>
          <w:szCs w:val="30"/>
        </w:rPr>
        <w:t>甲方</w:t>
      </w:r>
      <w:r>
        <w:rPr>
          <w:rFonts w:ascii="仿宋" w:hAnsi="仿宋" w:eastAsia="仿宋"/>
          <w:color w:val="auto"/>
          <w:sz w:val="30"/>
          <w:szCs w:val="30"/>
          <w:u w:val="single"/>
        </w:rPr>
        <w:t>每个维保</w:t>
      </w:r>
      <w:r>
        <w:rPr>
          <w:rFonts w:hint="eastAsia" w:ascii="仿宋" w:hAnsi="仿宋" w:eastAsia="仿宋"/>
          <w:color w:val="auto"/>
          <w:sz w:val="30"/>
          <w:szCs w:val="30"/>
          <w:u w:val="single"/>
        </w:rPr>
        <w:t>季度</w:t>
      </w:r>
      <w:r>
        <w:rPr>
          <w:rFonts w:ascii="仿宋" w:hAnsi="仿宋" w:eastAsia="仿宋"/>
          <w:color w:val="auto"/>
          <w:kern w:val="0"/>
          <w:sz w:val="30"/>
          <w:szCs w:val="30"/>
        </w:rPr>
        <w:t>对乙方的</w:t>
      </w:r>
      <w:r>
        <w:rPr>
          <w:rFonts w:hint="eastAsia" w:ascii="仿宋" w:hAnsi="仿宋" w:eastAsia="仿宋"/>
          <w:color w:val="auto"/>
          <w:kern w:val="0"/>
          <w:sz w:val="30"/>
          <w:szCs w:val="30"/>
        </w:rPr>
        <w:t>维保质量</w:t>
      </w:r>
      <w:r>
        <w:rPr>
          <w:rFonts w:ascii="仿宋" w:hAnsi="仿宋" w:eastAsia="仿宋"/>
          <w:color w:val="auto"/>
          <w:kern w:val="0"/>
          <w:sz w:val="30"/>
          <w:szCs w:val="30"/>
        </w:rPr>
        <w:t>进行</w:t>
      </w:r>
      <w:r>
        <w:rPr>
          <w:rFonts w:hint="eastAsia" w:ascii="仿宋" w:hAnsi="仿宋" w:eastAsia="仿宋"/>
          <w:color w:val="auto"/>
          <w:kern w:val="0"/>
          <w:sz w:val="30"/>
          <w:szCs w:val="30"/>
        </w:rPr>
        <w:t>考核</w:t>
      </w:r>
      <w:r>
        <w:rPr>
          <w:rFonts w:ascii="仿宋" w:hAnsi="仿宋" w:eastAsia="仿宋"/>
          <w:color w:val="auto"/>
          <w:kern w:val="0"/>
          <w:sz w:val="30"/>
          <w:szCs w:val="30"/>
        </w:rPr>
        <w:t>验收</w:t>
      </w:r>
      <w:r>
        <w:rPr>
          <w:rFonts w:hint="eastAsia" w:ascii="仿宋" w:hAnsi="仿宋" w:eastAsia="仿宋"/>
          <w:color w:val="auto"/>
          <w:kern w:val="0"/>
          <w:sz w:val="30"/>
          <w:szCs w:val="30"/>
        </w:rPr>
        <w:t>，</w:t>
      </w:r>
      <w:r>
        <w:rPr>
          <w:rFonts w:hint="eastAsia" w:ascii="仿宋" w:hAnsi="仿宋" w:eastAsia="仿宋" w:cs="宋体"/>
          <w:color w:val="auto"/>
          <w:kern w:val="0"/>
          <w:sz w:val="30"/>
          <w:szCs w:val="30"/>
        </w:rPr>
        <w:t>实施季度考核百分评分制，考核得分</w:t>
      </w:r>
      <w:r>
        <w:rPr>
          <w:rFonts w:hint="eastAsia" w:ascii="仿宋" w:hAnsi="仿宋" w:eastAsia="仿宋" w:cs="宋体"/>
          <w:color w:val="auto"/>
          <w:kern w:val="0"/>
          <w:sz w:val="30"/>
          <w:szCs w:val="30"/>
          <w:u w:val="single"/>
        </w:rPr>
        <w:t xml:space="preserve"> 85 </w:t>
      </w:r>
      <w:r>
        <w:rPr>
          <w:rFonts w:hint="eastAsia" w:ascii="仿宋" w:hAnsi="仿宋" w:eastAsia="仿宋" w:cs="宋体"/>
          <w:color w:val="auto"/>
          <w:kern w:val="0"/>
          <w:sz w:val="30"/>
          <w:szCs w:val="30"/>
        </w:rPr>
        <w:t>分及以上为当月服务合格，</w:t>
      </w:r>
      <w:r>
        <w:rPr>
          <w:rFonts w:hint="eastAsia" w:ascii="仿宋" w:hAnsi="仿宋" w:eastAsia="仿宋" w:cs="宋体"/>
          <w:color w:val="auto"/>
          <w:kern w:val="0"/>
          <w:sz w:val="30"/>
          <w:szCs w:val="30"/>
          <w:u w:val="single"/>
        </w:rPr>
        <w:t xml:space="preserve"> 85 </w:t>
      </w:r>
      <w:r>
        <w:rPr>
          <w:rFonts w:hint="eastAsia" w:ascii="仿宋" w:hAnsi="仿宋" w:eastAsia="仿宋" w:cs="宋体"/>
          <w:color w:val="auto"/>
          <w:kern w:val="0"/>
          <w:sz w:val="30"/>
          <w:szCs w:val="30"/>
        </w:rPr>
        <w:t>分以下每减1分，将扣除当季度服务费中的</w:t>
      </w:r>
      <w:r>
        <w:rPr>
          <w:rFonts w:hint="eastAsia" w:ascii="仿宋" w:hAnsi="仿宋" w:eastAsia="仿宋" w:cs="宋体"/>
          <w:color w:val="auto"/>
          <w:kern w:val="0"/>
          <w:sz w:val="30"/>
          <w:szCs w:val="30"/>
          <w:u w:val="single"/>
        </w:rPr>
        <w:t xml:space="preserve"> 1 </w:t>
      </w:r>
      <w:r>
        <w:rPr>
          <w:rFonts w:hint="eastAsia" w:ascii="仿宋" w:hAnsi="仿宋" w:eastAsia="仿宋" w:cs="宋体"/>
          <w:color w:val="auto"/>
          <w:kern w:val="0"/>
          <w:sz w:val="30"/>
          <w:szCs w:val="30"/>
        </w:rPr>
        <w:t>%作为违约金，以此类推</w:t>
      </w:r>
      <w:r>
        <w:rPr>
          <w:rFonts w:hint="eastAsia" w:ascii="仿宋" w:hAnsi="仿宋" w:eastAsia="仿宋"/>
          <w:color w:val="auto"/>
          <w:kern w:val="0"/>
          <w:sz w:val="30"/>
          <w:szCs w:val="30"/>
        </w:rPr>
        <w:t>。</w:t>
      </w:r>
    </w:p>
    <w:p w14:paraId="26DBA9BF">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在合同有效期内，甲方每年开展一次年度履约评价（附件七），评价得分低于</w:t>
      </w:r>
      <w:r>
        <w:rPr>
          <w:rFonts w:hint="eastAsia" w:ascii="仿宋" w:hAnsi="仿宋" w:eastAsia="仿宋"/>
          <w:color w:val="auto"/>
          <w:kern w:val="0"/>
          <w:sz w:val="30"/>
          <w:szCs w:val="30"/>
          <w:u w:val="single"/>
        </w:rPr>
        <w:t xml:space="preserve"> 75 </w:t>
      </w:r>
      <w:r>
        <w:rPr>
          <w:rFonts w:hint="eastAsia" w:ascii="仿宋" w:hAnsi="仿宋" w:eastAsia="仿宋"/>
          <w:color w:val="auto"/>
          <w:kern w:val="0"/>
          <w:sz w:val="30"/>
          <w:szCs w:val="30"/>
        </w:rPr>
        <w:t>分，甲方向乙方发出书面警示函，约谈乙方分管领导；得分如低于</w:t>
      </w:r>
      <w:r>
        <w:rPr>
          <w:rFonts w:hint="eastAsia" w:ascii="仿宋" w:hAnsi="仿宋" w:eastAsia="仿宋"/>
          <w:color w:val="auto"/>
          <w:kern w:val="0"/>
          <w:sz w:val="30"/>
          <w:szCs w:val="30"/>
          <w:u w:val="single"/>
        </w:rPr>
        <w:t xml:space="preserve"> 60</w:t>
      </w:r>
      <w:r>
        <w:rPr>
          <w:rFonts w:hint="eastAsia" w:ascii="仿宋" w:hAnsi="仿宋" w:eastAsia="仿宋"/>
          <w:color w:val="auto"/>
          <w:kern w:val="0"/>
          <w:sz w:val="30"/>
          <w:szCs w:val="30"/>
        </w:rPr>
        <w:t>分，甲方有权终止本合同，不承担任何后果。</w:t>
      </w:r>
    </w:p>
    <w:p w14:paraId="25AD3512">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（二）甲方安排专人负责该消防设施设备的日常管理和监管工作，</w:t>
      </w:r>
      <w:r>
        <w:rPr>
          <w:rFonts w:ascii="仿宋" w:hAnsi="仿宋" w:eastAsia="仿宋"/>
          <w:color w:val="auto"/>
          <w:kern w:val="0"/>
          <w:sz w:val="30"/>
          <w:szCs w:val="30"/>
        </w:rPr>
        <w:t>做好消防设施设备的运行、使用、巡检记录。</w:t>
      </w:r>
      <w:r>
        <w:rPr>
          <w:rFonts w:hint="eastAsia" w:ascii="仿宋" w:hAnsi="仿宋" w:eastAsia="仿宋"/>
          <w:color w:val="auto"/>
          <w:kern w:val="0"/>
          <w:sz w:val="30"/>
          <w:szCs w:val="30"/>
        </w:rPr>
        <w:t>出现一般故障后，做好故障登记。若需乙方现场处理，甲方应提供必要的工作条件，负责协助并确认乙方的维护保养工作，维修记录表在双方签字确认后存档。</w:t>
      </w:r>
    </w:p>
    <w:p w14:paraId="491510DA">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（三）甲方应尊重乙方维保人员的工作，对维保人员履行职责的行为予以支持、配合。</w:t>
      </w:r>
    </w:p>
    <w:p w14:paraId="7DC4B25B">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（四）有关消防系统的修改以及建筑平面布局的改动可能影响消防维保的全面性和有效性的，甲方应及时告知乙方。</w:t>
      </w:r>
    </w:p>
    <w:p w14:paraId="1F0EABF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（五）甲方对乙方的检查报告、维保记录在核对无误后，应由甲方履约联系人或甲方相关负责人予以签字确认。</w:t>
      </w:r>
    </w:p>
    <w:p w14:paraId="1EA2C13D">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（六）甲方应认真审核乙方提出为保障消防设施设备运行的建议，并及时回复。</w:t>
      </w:r>
    </w:p>
    <w:p w14:paraId="03DB16A3">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（七）甲方须按合同约定的付款方式及时足额支付消防维护保养服务费。</w:t>
      </w:r>
    </w:p>
    <w:p w14:paraId="61F3B9FA">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（八）因甲方人为造成的故障或设备损坏，乙方有义务协助甲方在最短的时间内先行修复、更换，恢复消防系统的正常运行，所需费用由甲方承担。</w:t>
      </w:r>
    </w:p>
    <w:p w14:paraId="6086325D">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（九）甲方在接到乙方通知后，应及时准备或委托乙方购买单价超过</w:t>
      </w:r>
      <w:r>
        <w:rPr>
          <w:rFonts w:hint="eastAsia" w:ascii="仿宋" w:hAnsi="仿宋" w:eastAsia="仿宋"/>
          <w:color w:val="auto"/>
          <w:kern w:val="0"/>
          <w:sz w:val="30"/>
          <w:szCs w:val="30"/>
          <w:u w:val="single"/>
        </w:rPr>
        <w:t xml:space="preserve">  200</w:t>
      </w:r>
      <w:r>
        <w:rPr>
          <w:rFonts w:hint="eastAsia" w:ascii="仿宋" w:hAnsi="仿宋" w:eastAsia="仿宋"/>
          <w:color w:val="auto"/>
          <w:kern w:val="0"/>
          <w:sz w:val="30"/>
          <w:szCs w:val="30"/>
        </w:rPr>
        <w:t>元的维修和更换所需的配件、设备等材料，详见附件五《</w:t>
      </w:r>
      <w:r>
        <w:rPr>
          <w:rFonts w:hint="eastAsia" w:ascii="仿宋" w:hAnsi="仿宋" w:eastAsia="仿宋"/>
          <w:color w:val="auto"/>
          <w:kern w:val="0"/>
          <w:sz w:val="30"/>
          <w:szCs w:val="30"/>
          <w:u w:val="single"/>
        </w:rPr>
        <w:t xml:space="preserve"> 200 </w:t>
      </w:r>
      <w:r>
        <w:rPr>
          <w:rFonts w:hint="eastAsia" w:ascii="仿宋" w:hAnsi="仿宋" w:eastAsia="仿宋"/>
          <w:color w:val="auto"/>
          <w:kern w:val="0"/>
          <w:sz w:val="30"/>
          <w:szCs w:val="30"/>
        </w:rPr>
        <w:t>元以上付费材料清单》，附件中价格为参考价格，甲方可另行通过市场考察价格，最终价格以附件参考价格和甲方市场考察价格中的较低价格为准。</w:t>
      </w:r>
    </w:p>
    <w:p w14:paraId="7E5D97BF">
      <w:pPr>
        <w:keepNext w:val="0"/>
        <w:keepLines w:val="0"/>
        <w:pageBreakBefore w:val="0"/>
        <w:widowControl/>
        <w:tabs>
          <w:tab w:val="left" w:pos="397"/>
          <w:tab w:val="left" w:pos="993"/>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s="仿宋"/>
          <w:color w:val="auto"/>
          <w:sz w:val="30"/>
          <w:szCs w:val="30"/>
        </w:rPr>
      </w:pPr>
      <w:r>
        <w:rPr>
          <w:rFonts w:hint="eastAsia" w:ascii="仿宋" w:hAnsi="仿宋" w:eastAsia="仿宋"/>
          <w:color w:val="auto"/>
          <w:sz w:val="30"/>
          <w:szCs w:val="30"/>
        </w:rPr>
        <w:t>（十）</w:t>
      </w:r>
      <w:r>
        <w:rPr>
          <w:rFonts w:hint="eastAsia" w:ascii="仿宋" w:hAnsi="仿宋" w:eastAsia="仿宋" w:cs="仿宋"/>
          <w:color w:val="auto"/>
          <w:sz w:val="30"/>
          <w:szCs w:val="30"/>
        </w:rPr>
        <w:t>电梯维护保养合同生效后，甲方提出解除合同，提前壹个月通知乙方，即可解除合同。</w:t>
      </w:r>
    </w:p>
    <w:p w14:paraId="07B87F73">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第九条</w:t>
      </w:r>
      <w:r>
        <w:rPr>
          <w:rFonts w:ascii="仿宋" w:hAnsi="仿宋" w:eastAsia="仿宋"/>
          <w:b/>
          <w:color w:val="auto"/>
          <w:sz w:val="30"/>
          <w:szCs w:val="30"/>
        </w:rPr>
        <w:t xml:space="preserve"> </w:t>
      </w:r>
      <w:r>
        <w:rPr>
          <w:rFonts w:hint="eastAsia" w:ascii="仿宋" w:hAnsi="仿宋" w:eastAsia="仿宋"/>
          <w:b/>
          <w:color w:val="auto"/>
          <w:sz w:val="30"/>
          <w:szCs w:val="30"/>
        </w:rPr>
        <w:t>乙方的权利和义务</w:t>
      </w:r>
    </w:p>
    <w:p w14:paraId="468FA29E">
      <w:pPr>
        <w:keepNext w:val="0"/>
        <w:keepLines w:val="0"/>
        <w:pageBreakBefore w:val="0"/>
        <w:widowControl/>
        <w:tabs>
          <w:tab w:val="left" w:pos="397"/>
          <w:tab w:val="left" w:pos="624"/>
          <w:tab w:val="left" w:pos="993"/>
        </w:tabs>
        <w:kinsoku/>
        <w:wordWrap/>
        <w:overflowPunct/>
        <w:topLinePunct w:val="0"/>
        <w:autoSpaceDE/>
        <w:autoSpaceDN/>
        <w:bidi w:val="0"/>
        <w:adjustRightInd w:val="0"/>
        <w:snapToGrid w:val="0"/>
        <w:spacing w:line="470" w:lineRule="exact"/>
        <w:ind w:firstLine="450" w:firstLineChars="150"/>
        <w:textAlignment w:val="auto"/>
        <w:outlineLvl w:val="0"/>
        <w:rPr>
          <w:rFonts w:ascii="仿宋" w:hAnsi="仿宋" w:eastAsia="仿宋"/>
          <w:color w:val="auto"/>
          <w:kern w:val="0"/>
          <w:sz w:val="30"/>
          <w:szCs w:val="30"/>
        </w:rPr>
      </w:pPr>
      <w:r>
        <w:rPr>
          <w:rFonts w:hint="eastAsia" w:ascii="仿宋" w:hAnsi="仿宋" w:eastAsia="仿宋"/>
          <w:color w:val="auto"/>
          <w:kern w:val="0"/>
          <w:sz w:val="30"/>
          <w:szCs w:val="30"/>
        </w:rPr>
        <w:t>（一）乙方资质要求</w:t>
      </w:r>
    </w:p>
    <w:p w14:paraId="32CC3ADD">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1、</w:t>
      </w:r>
      <w:r>
        <w:rPr>
          <w:rFonts w:ascii="仿宋" w:hAnsi="仿宋" w:eastAsia="仿宋"/>
          <w:color w:val="auto"/>
          <w:sz w:val="30"/>
          <w:szCs w:val="30"/>
        </w:rPr>
        <w:t>乙方应承诺在本合同服务期限内取得符合法律、法规规章及相关部门规定实施本项目要求的相关资质（包括但不限于公司资质及相关工作人员资质），并承诺在合同有效期内资质持续有效，并于合同</w:t>
      </w:r>
      <w:r>
        <w:rPr>
          <w:rFonts w:hint="eastAsia" w:ascii="仿宋" w:hAnsi="仿宋" w:eastAsia="仿宋"/>
          <w:color w:val="auto"/>
          <w:sz w:val="30"/>
          <w:szCs w:val="30"/>
        </w:rPr>
        <w:t>签署</w:t>
      </w:r>
      <w:r>
        <w:rPr>
          <w:rFonts w:ascii="仿宋" w:hAnsi="仿宋" w:eastAsia="仿宋"/>
          <w:color w:val="auto"/>
          <w:sz w:val="30"/>
          <w:szCs w:val="30"/>
        </w:rPr>
        <w:t>当日将相关资质原件出示甲方，</w:t>
      </w:r>
      <w:r>
        <w:rPr>
          <w:rFonts w:hint="eastAsia" w:ascii="仿宋" w:hAnsi="仿宋" w:eastAsia="仿宋"/>
          <w:color w:val="auto"/>
          <w:sz w:val="30"/>
          <w:szCs w:val="30"/>
        </w:rPr>
        <w:t>并提交复印件给</w:t>
      </w:r>
      <w:r>
        <w:rPr>
          <w:rFonts w:ascii="仿宋" w:hAnsi="仿宋" w:eastAsia="仿宋"/>
          <w:color w:val="auto"/>
          <w:sz w:val="30"/>
          <w:szCs w:val="30"/>
        </w:rPr>
        <w:t>甲方存档</w:t>
      </w:r>
      <w:r>
        <w:rPr>
          <w:rFonts w:hint="eastAsia" w:ascii="仿宋" w:hAnsi="仿宋" w:eastAsia="仿宋"/>
          <w:color w:val="auto"/>
          <w:sz w:val="30"/>
          <w:szCs w:val="30"/>
        </w:rPr>
        <w:t>；资质要求如遇国家政策调整，则按新政策执行</w:t>
      </w:r>
      <w:r>
        <w:rPr>
          <w:rFonts w:ascii="仿宋" w:hAnsi="仿宋" w:eastAsia="仿宋"/>
          <w:color w:val="auto"/>
          <w:sz w:val="30"/>
          <w:szCs w:val="30"/>
        </w:rPr>
        <w:t>。</w:t>
      </w:r>
    </w:p>
    <w:p w14:paraId="213729E6">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2、</w:t>
      </w:r>
      <w:r>
        <w:rPr>
          <w:rFonts w:ascii="仿宋" w:hAnsi="仿宋" w:eastAsia="仿宋"/>
          <w:color w:val="auto"/>
          <w:sz w:val="30"/>
          <w:szCs w:val="30"/>
        </w:rPr>
        <w:t>如乙方违反上述要求，在资质失效期内发生的全部人身、财产损失（无论是甲方损失、乙方自身损失还是其他第三方损失）或甲方因此承担行政、刑事责任的，由此造成的全部损失应由乙方承担，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先行垫付损失的，乙方应在甲方垫付完毕之日起三日内偿还甲方，因乙方拒绝偿还甲方垫付款项的，除应支付该垫付款项外，甲方因此产生的维权费用（包括但不限于：律师费、保全费、</w:t>
      </w:r>
      <w:r>
        <w:rPr>
          <w:rFonts w:hint="eastAsia" w:ascii="仿宋" w:hAnsi="仿宋" w:eastAsia="仿宋"/>
          <w:color w:val="auto"/>
          <w:sz w:val="30"/>
          <w:szCs w:val="30"/>
        </w:rPr>
        <w:t>诉讼财产保全担保责任保险费、</w:t>
      </w:r>
      <w:r>
        <w:rPr>
          <w:rFonts w:ascii="仿宋" w:hAnsi="仿宋" w:eastAsia="仿宋"/>
          <w:color w:val="auto"/>
          <w:sz w:val="30"/>
          <w:szCs w:val="30"/>
        </w:rPr>
        <w:t>公证费、鉴定费、差旅费）由乙方承担。</w:t>
      </w:r>
    </w:p>
    <w:p w14:paraId="006E6E12">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3、</w:t>
      </w:r>
      <w:r>
        <w:rPr>
          <w:rFonts w:ascii="仿宋" w:hAnsi="仿宋" w:eastAsia="仿宋"/>
          <w:color w:val="auto"/>
          <w:sz w:val="30"/>
          <w:szCs w:val="30"/>
        </w:rPr>
        <w:t>乙方违反上述第</w:t>
      </w:r>
      <w:r>
        <w:rPr>
          <w:rFonts w:hint="eastAsia" w:ascii="仿宋" w:hAnsi="仿宋" w:eastAsia="仿宋"/>
          <w:color w:val="auto"/>
          <w:sz w:val="30"/>
          <w:szCs w:val="30"/>
        </w:rPr>
        <w:t>1</w:t>
      </w:r>
      <w:r>
        <w:rPr>
          <w:rFonts w:ascii="仿宋" w:hAnsi="仿宋" w:eastAsia="仿宋"/>
          <w:color w:val="auto"/>
          <w:sz w:val="30"/>
          <w:szCs w:val="30"/>
        </w:rPr>
        <w:t>、</w:t>
      </w:r>
      <w:r>
        <w:rPr>
          <w:rFonts w:hint="eastAsia" w:ascii="仿宋" w:hAnsi="仿宋" w:eastAsia="仿宋"/>
          <w:color w:val="auto"/>
          <w:sz w:val="30"/>
          <w:szCs w:val="30"/>
        </w:rPr>
        <w:t>2</w:t>
      </w:r>
      <w:r>
        <w:rPr>
          <w:rFonts w:ascii="仿宋" w:hAnsi="仿宋" w:eastAsia="仿宋"/>
          <w:color w:val="auto"/>
          <w:sz w:val="30"/>
          <w:szCs w:val="30"/>
        </w:rPr>
        <w:t>款规定的，甲方可随时要求解除本合同，且不承担任何责任，乙方应一次性向甲方支付合同款项20%的赔偿，甲方已支付乙方的先期款项，乙方应在合同解除后10个工作日内退回，否则乙方应当赔偿甲方该款项的损失（损失由甲方</w:t>
      </w:r>
      <w:r>
        <w:rPr>
          <w:rFonts w:hint="eastAsia" w:ascii="仿宋" w:hAnsi="仿宋" w:eastAsia="仿宋"/>
          <w:color w:val="auto"/>
          <w:sz w:val="30"/>
          <w:szCs w:val="30"/>
        </w:rPr>
        <w:t>选择</w:t>
      </w:r>
      <w:r>
        <w:rPr>
          <w:rFonts w:ascii="仿宋" w:hAnsi="仿宋" w:eastAsia="仿宋"/>
          <w:color w:val="auto"/>
          <w:sz w:val="30"/>
          <w:szCs w:val="30"/>
        </w:rPr>
        <w:t>按实际损失或银行同期贷款利率的四倍计算）。</w:t>
      </w:r>
    </w:p>
    <w:p w14:paraId="1DC127A2">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（二）乙方保险要求</w:t>
      </w:r>
    </w:p>
    <w:p w14:paraId="2C4FE4CF">
      <w:pPr>
        <w:keepNext w:val="0"/>
        <w:keepLines w:val="0"/>
        <w:pageBreakBefore w:val="0"/>
        <w:kinsoku/>
        <w:wordWrap/>
        <w:overflowPunct/>
        <w:topLinePunct w:val="0"/>
        <w:autoSpaceDE/>
        <w:autoSpaceDN/>
        <w:bidi w:val="0"/>
        <w:spacing w:line="470" w:lineRule="exact"/>
        <w:ind w:firstLine="750" w:firstLineChars="250"/>
        <w:textAlignment w:val="auto"/>
        <w:rPr>
          <w:rFonts w:ascii="仿宋" w:hAnsi="仿宋" w:eastAsia="仿宋"/>
          <w:color w:val="auto"/>
          <w:sz w:val="30"/>
          <w:szCs w:val="30"/>
        </w:rPr>
      </w:pPr>
      <w:r>
        <w:rPr>
          <w:rFonts w:hint="eastAsia" w:ascii="仿宋" w:hAnsi="仿宋" w:eastAsia="仿宋"/>
          <w:color w:val="auto"/>
          <w:sz w:val="30"/>
          <w:szCs w:val="30"/>
        </w:rPr>
        <w:t>1、</w:t>
      </w:r>
      <w:r>
        <w:rPr>
          <w:rFonts w:ascii="仿宋" w:hAnsi="仿宋" w:eastAsia="仿宋"/>
          <w:color w:val="auto"/>
          <w:sz w:val="30"/>
          <w:szCs w:val="30"/>
        </w:rPr>
        <w:t>乙方应承诺为本项目</w:t>
      </w:r>
      <w:r>
        <w:rPr>
          <w:rFonts w:hint="eastAsia" w:ascii="仿宋" w:hAnsi="仿宋" w:eastAsia="仿宋"/>
          <w:color w:val="auto"/>
          <w:sz w:val="30"/>
          <w:szCs w:val="30"/>
        </w:rPr>
        <w:t>造成第三者损失风险购买公众责任险，每次事故赔偿限额应不低于人民币60万元。</w:t>
      </w:r>
    </w:p>
    <w:p w14:paraId="01D8A2A0">
      <w:pPr>
        <w:keepNext w:val="0"/>
        <w:keepLines w:val="0"/>
        <w:pageBreakBefore w:val="0"/>
        <w:kinsoku/>
        <w:wordWrap/>
        <w:overflowPunct/>
        <w:topLinePunct w:val="0"/>
        <w:autoSpaceDE/>
        <w:autoSpaceDN/>
        <w:bidi w:val="0"/>
        <w:spacing w:line="470" w:lineRule="exact"/>
        <w:ind w:firstLine="750" w:firstLineChars="250"/>
        <w:textAlignment w:val="auto"/>
        <w:rPr>
          <w:rFonts w:ascii="仿宋" w:hAnsi="仿宋" w:eastAsia="仿宋"/>
          <w:color w:val="auto"/>
          <w:sz w:val="30"/>
          <w:szCs w:val="30"/>
        </w:rPr>
      </w:pPr>
      <w:r>
        <w:rPr>
          <w:rFonts w:hint="eastAsia" w:ascii="仿宋" w:hAnsi="仿宋" w:eastAsia="仿宋"/>
          <w:color w:val="auto"/>
          <w:sz w:val="30"/>
          <w:szCs w:val="30"/>
        </w:rPr>
        <w:t>2、</w:t>
      </w:r>
      <w:r>
        <w:rPr>
          <w:rFonts w:ascii="仿宋" w:hAnsi="仿宋" w:eastAsia="仿宋"/>
          <w:color w:val="auto"/>
          <w:sz w:val="30"/>
          <w:szCs w:val="30"/>
        </w:rPr>
        <w:t>乙方应承诺为本项目</w:t>
      </w:r>
      <w:r>
        <w:rPr>
          <w:rFonts w:hint="eastAsia" w:ascii="仿宋" w:hAnsi="仿宋" w:eastAsia="仿宋"/>
          <w:color w:val="auto"/>
          <w:sz w:val="30"/>
          <w:szCs w:val="30"/>
        </w:rPr>
        <w:t>所有涉及人员（包括但不限于</w:t>
      </w:r>
      <w:r>
        <w:rPr>
          <w:rFonts w:ascii="仿宋" w:hAnsi="仿宋" w:eastAsia="仿宋"/>
          <w:color w:val="auto"/>
          <w:sz w:val="30"/>
          <w:szCs w:val="30"/>
        </w:rPr>
        <w:t>现场工作人员及其他参与人员</w:t>
      </w:r>
      <w:r>
        <w:rPr>
          <w:rFonts w:hint="eastAsia" w:ascii="仿宋" w:hAnsi="仿宋" w:eastAsia="仿宋"/>
          <w:color w:val="auto"/>
          <w:sz w:val="30"/>
          <w:szCs w:val="30"/>
        </w:rPr>
        <w:t>）的人身伤害风险</w:t>
      </w:r>
      <w:r>
        <w:rPr>
          <w:rFonts w:ascii="仿宋" w:hAnsi="仿宋" w:eastAsia="仿宋"/>
          <w:color w:val="auto"/>
          <w:sz w:val="30"/>
          <w:szCs w:val="30"/>
        </w:rPr>
        <w:t>购买</w:t>
      </w:r>
      <w:r>
        <w:rPr>
          <w:rFonts w:hint="eastAsia" w:ascii="仿宋" w:hAnsi="仿宋" w:eastAsia="仿宋"/>
          <w:color w:val="auto"/>
          <w:sz w:val="30"/>
          <w:szCs w:val="30"/>
        </w:rPr>
        <w:t>团体意外伤害保险或雇主责任险。其中：</w:t>
      </w:r>
      <w:r>
        <w:rPr>
          <w:rFonts w:ascii="仿宋" w:hAnsi="仿宋" w:eastAsia="仿宋"/>
          <w:color w:val="auto"/>
          <w:sz w:val="30"/>
          <w:szCs w:val="30"/>
        </w:rPr>
        <w:t>意外身故/残疾/烧、烫伤</w:t>
      </w:r>
      <w:r>
        <w:rPr>
          <w:rFonts w:hint="eastAsia" w:ascii="仿宋" w:hAnsi="仿宋" w:eastAsia="仿宋"/>
          <w:color w:val="auto"/>
          <w:sz w:val="30"/>
          <w:szCs w:val="30"/>
        </w:rPr>
        <w:t>保额应不低于人民币50万元</w:t>
      </w:r>
      <w:r>
        <w:rPr>
          <w:rFonts w:ascii="仿宋" w:hAnsi="仿宋" w:eastAsia="仿宋"/>
          <w:color w:val="auto"/>
          <w:sz w:val="30"/>
          <w:szCs w:val="30"/>
        </w:rPr>
        <w:t>/人</w:t>
      </w:r>
      <w:r>
        <w:rPr>
          <w:rFonts w:hint="eastAsia" w:ascii="仿宋" w:hAnsi="仿宋" w:eastAsia="仿宋"/>
          <w:color w:val="auto"/>
          <w:sz w:val="30"/>
          <w:szCs w:val="30"/>
        </w:rPr>
        <w:t>,</w:t>
      </w:r>
      <w:r>
        <w:rPr>
          <w:rFonts w:ascii="仿宋" w:hAnsi="仿宋" w:eastAsia="仿宋"/>
          <w:color w:val="auto"/>
          <w:sz w:val="30"/>
          <w:szCs w:val="30"/>
        </w:rPr>
        <w:t>附加意外伤害医疗费用</w:t>
      </w:r>
      <w:r>
        <w:rPr>
          <w:rFonts w:hint="eastAsia" w:ascii="仿宋" w:hAnsi="仿宋" w:eastAsia="仿宋"/>
          <w:color w:val="auto"/>
          <w:sz w:val="30"/>
          <w:szCs w:val="30"/>
        </w:rPr>
        <w:t>保额应不低于人民币5万元</w:t>
      </w:r>
      <w:r>
        <w:rPr>
          <w:rFonts w:ascii="仿宋" w:hAnsi="仿宋" w:eastAsia="仿宋"/>
          <w:color w:val="auto"/>
          <w:sz w:val="30"/>
          <w:szCs w:val="30"/>
        </w:rPr>
        <w:t>/人</w:t>
      </w:r>
      <w:r>
        <w:rPr>
          <w:rFonts w:hint="eastAsia" w:ascii="仿宋" w:hAnsi="仿宋" w:eastAsia="仿宋"/>
          <w:color w:val="auto"/>
          <w:sz w:val="30"/>
          <w:szCs w:val="30"/>
        </w:rPr>
        <w:t>。</w:t>
      </w:r>
    </w:p>
    <w:p w14:paraId="6DF28352">
      <w:pPr>
        <w:keepNext w:val="0"/>
        <w:keepLines w:val="0"/>
        <w:pageBreakBefore w:val="0"/>
        <w:kinsoku/>
        <w:wordWrap/>
        <w:overflowPunct/>
        <w:topLinePunct w:val="0"/>
        <w:autoSpaceDE/>
        <w:autoSpaceDN/>
        <w:bidi w:val="0"/>
        <w:spacing w:line="470" w:lineRule="exact"/>
        <w:ind w:firstLine="750" w:firstLineChars="250"/>
        <w:textAlignment w:val="auto"/>
        <w:rPr>
          <w:rFonts w:ascii="仿宋" w:hAnsi="仿宋" w:eastAsia="仿宋"/>
          <w:color w:val="auto"/>
          <w:sz w:val="30"/>
          <w:szCs w:val="30"/>
        </w:rPr>
      </w:pPr>
      <w:r>
        <w:rPr>
          <w:rFonts w:hint="eastAsia" w:ascii="仿宋" w:hAnsi="仿宋" w:eastAsia="仿宋"/>
          <w:color w:val="auto"/>
          <w:sz w:val="30"/>
          <w:szCs w:val="30"/>
        </w:rPr>
        <w:t>3、上述保险项目须</w:t>
      </w:r>
      <w:r>
        <w:rPr>
          <w:rFonts w:ascii="仿宋" w:hAnsi="仿宋" w:eastAsia="仿宋"/>
          <w:color w:val="auto"/>
          <w:sz w:val="30"/>
          <w:szCs w:val="30"/>
        </w:rPr>
        <w:t>在人员进场前将保单</w:t>
      </w:r>
      <w:r>
        <w:rPr>
          <w:rFonts w:hint="eastAsia" w:ascii="仿宋" w:hAnsi="仿宋" w:eastAsia="仿宋"/>
          <w:color w:val="auto"/>
          <w:sz w:val="30"/>
          <w:szCs w:val="30"/>
        </w:rPr>
        <w:t>或</w:t>
      </w:r>
      <w:r>
        <w:rPr>
          <w:rFonts w:ascii="仿宋" w:hAnsi="仿宋" w:eastAsia="仿宋"/>
          <w:color w:val="auto"/>
          <w:sz w:val="30"/>
          <w:szCs w:val="30"/>
        </w:rPr>
        <w:t>参保记录原件</w:t>
      </w:r>
      <w:r>
        <w:rPr>
          <w:rFonts w:hint="eastAsia" w:ascii="仿宋" w:hAnsi="仿宋" w:eastAsia="仿宋"/>
          <w:color w:val="auto"/>
          <w:sz w:val="30"/>
          <w:szCs w:val="30"/>
        </w:rPr>
        <w:t>向</w:t>
      </w:r>
      <w:r>
        <w:rPr>
          <w:rFonts w:ascii="仿宋" w:hAnsi="仿宋" w:eastAsia="仿宋"/>
          <w:color w:val="auto"/>
          <w:sz w:val="30"/>
          <w:szCs w:val="30"/>
        </w:rPr>
        <w:t>甲方</w:t>
      </w:r>
      <w:r>
        <w:rPr>
          <w:rFonts w:hint="eastAsia" w:ascii="仿宋" w:hAnsi="仿宋" w:eastAsia="仿宋"/>
          <w:color w:val="auto"/>
          <w:sz w:val="30"/>
          <w:szCs w:val="30"/>
        </w:rPr>
        <w:t>出示，</w:t>
      </w:r>
      <w:r>
        <w:rPr>
          <w:rFonts w:ascii="仿宋" w:hAnsi="仿宋" w:eastAsia="仿宋"/>
          <w:color w:val="auto"/>
          <w:sz w:val="30"/>
          <w:szCs w:val="30"/>
        </w:rPr>
        <w:t>并</w:t>
      </w:r>
      <w:r>
        <w:rPr>
          <w:rFonts w:hint="eastAsia" w:ascii="仿宋" w:hAnsi="仿宋" w:eastAsia="仿宋"/>
          <w:color w:val="auto"/>
          <w:sz w:val="30"/>
          <w:szCs w:val="30"/>
        </w:rPr>
        <w:t>将</w:t>
      </w:r>
      <w:r>
        <w:rPr>
          <w:rFonts w:ascii="仿宋" w:hAnsi="仿宋" w:eastAsia="仿宋"/>
          <w:color w:val="auto"/>
          <w:sz w:val="30"/>
          <w:szCs w:val="30"/>
        </w:rPr>
        <w:t>复印</w:t>
      </w:r>
      <w:r>
        <w:rPr>
          <w:rFonts w:hint="eastAsia" w:ascii="仿宋" w:hAnsi="仿宋" w:eastAsia="仿宋"/>
          <w:color w:val="auto"/>
          <w:sz w:val="30"/>
          <w:szCs w:val="30"/>
        </w:rPr>
        <w:t>件提交</w:t>
      </w:r>
      <w:r>
        <w:rPr>
          <w:rFonts w:ascii="仿宋" w:hAnsi="仿宋" w:eastAsia="仿宋"/>
          <w:color w:val="auto"/>
          <w:sz w:val="30"/>
          <w:szCs w:val="30"/>
        </w:rPr>
        <w:t>甲方备案。</w:t>
      </w:r>
    </w:p>
    <w:p w14:paraId="33CCB318">
      <w:pPr>
        <w:keepNext w:val="0"/>
        <w:keepLines w:val="0"/>
        <w:pageBreakBefore w:val="0"/>
        <w:kinsoku/>
        <w:wordWrap/>
        <w:overflowPunct/>
        <w:topLinePunct w:val="0"/>
        <w:autoSpaceDE/>
        <w:autoSpaceDN/>
        <w:bidi w:val="0"/>
        <w:spacing w:line="470" w:lineRule="exact"/>
        <w:ind w:firstLine="750" w:firstLineChars="250"/>
        <w:textAlignment w:val="auto"/>
        <w:rPr>
          <w:rFonts w:ascii="仿宋" w:hAnsi="仿宋" w:eastAsia="仿宋"/>
          <w:color w:val="auto"/>
          <w:sz w:val="30"/>
          <w:szCs w:val="30"/>
        </w:rPr>
      </w:pPr>
      <w:r>
        <w:rPr>
          <w:rFonts w:hint="eastAsia" w:ascii="仿宋" w:hAnsi="仿宋" w:eastAsia="仿宋"/>
          <w:color w:val="auto"/>
          <w:sz w:val="30"/>
          <w:szCs w:val="30"/>
        </w:rPr>
        <w:t>4、</w:t>
      </w:r>
      <w:r>
        <w:rPr>
          <w:rFonts w:ascii="仿宋" w:hAnsi="仿宋" w:eastAsia="仿宋"/>
          <w:color w:val="auto"/>
          <w:sz w:val="30"/>
          <w:szCs w:val="30"/>
        </w:rPr>
        <w:t>在本合同服务期限内，如甲方发现乙方现场工作人员及其他项目参与人员不符合本条约定参保情况的，甲方可立即停止该工作人员的全部工作，并要求乙方即时替换符合要求的工作人员进场，乙方不得有异议。</w:t>
      </w:r>
    </w:p>
    <w:p w14:paraId="1CC1945B">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5、</w:t>
      </w:r>
      <w:r>
        <w:rPr>
          <w:rFonts w:ascii="仿宋" w:hAnsi="仿宋" w:eastAsia="仿宋"/>
          <w:color w:val="auto"/>
          <w:sz w:val="30"/>
          <w:szCs w:val="30"/>
        </w:rPr>
        <w:t>乙方违反上述第</w:t>
      </w:r>
      <w:r>
        <w:rPr>
          <w:rFonts w:hint="eastAsia" w:ascii="仿宋" w:hAnsi="仿宋" w:eastAsia="仿宋"/>
          <w:color w:val="auto"/>
          <w:sz w:val="30"/>
          <w:szCs w:val="30"/>
        </w:rPr>
        <w:t>1、2</w:t>
      </w:r>
      <w:r>
        <w:rPr>
          <w:rFonts w:ascii="仿宋" w:hAnsi="仿宋" w:eastAsia="仿宋"/>
          <w:color w:val="auto"/>
          <w:sz w:val="30"/>
          <w:szCs w:val="30"/>
        </w:rPr>
        <w:t>款规定的，甲方可随时解除合同并不承担任何责任</w:t>
      </w:r>
      <w:r>
        <w:rPr>
          <w:rFonts w:hint="eastAsia" w:ascii="仿宋" w:hAnsi="仿宋" w:eastAsia="仿宋"/>
          <w:color w:val="auto"/>
          <w:sz w:val="30"/>
          <w:szCs w:val="30"/>
        </w:rPr>
        <w:t>,且</w:t>
      </w:r>
      <w:r>
        <w:rPr>
          <w:rFonts w:ascii="仿宋" w:hAnsi="仿宋" w:eastAsia="仿宋"/>
          <w:color w:val="auto"/>
          <w:sz w:val="30"/>
          <w:szCs w:val="30"/>
        </w:rPr>
        <w:t>乙方造成甲方垫付费用及维权费用</w:t>
      </w:r>
      <w:r>
        <w:rPr>
          <w:rFonts w:hint="eastAsia" w:ascii="仿宋" w:hAnsi="仿宋" w:eastAsia="仿宋"/>
          <w:color w:val="auto"/>
          <w:sz w:val="30"/>
          <w:szCs w:val="30"/>
        </w:rPr>
        <w:t>损失及</w:t>
      </w:r>
      <w:r>
        <w:rPr>
          <w:rFonts w:ascii="仿宋" w:hAnsi="仿宋" w:eastAsia="仿宋"/>
          <w:color w:val="auto"/>
          <w:sz w:val="30"/>
          <w:szCs w:val="30"/>
        </w:rPr>
        <w:t>其他损失</w:t>
      </w:r>
      <w:r>
        <w:rPr>
          <w:rFonts w:hint="eastAsia" w:ascii="仿宋" w:hAnsi="仿宋" w:eastAsia="仿宋"/>
          <w:color w:val="auto"/>
          <w:sz w:val="30"/>
          <w:szCs w:val="30"/>
        </w:rPr>
        <w:t>的</w:t>
      </w:r>
      <w:r>
        <w:rPr>
          <w:rFonts w:ascii="仿宋" w:hAnsi="仿宋" w:eastAsia="仿宋"/>
          <w:color w:val="auto"/>
          <w:sz w:val="30"/>
          <w:szCs w:val="30"/>
        </w:rPr>
        <w:t>，</w:t>
      </w:r>
      <w:r>
        <w:rPr>
          <w:rFonts w:hint="eastAsia" w:ascii="仿宋" w:hAnsi="仿宋" w:eastAsia="仿宋"/>
          <w:color w:val="auto"/>
          <w:sz w:val="30"/>
          <w:szCs w:val="30"/>
        </w:rPr>
        <w:t>均</w:t>
      </w:r>
      <w:r>
        <w:rPr>
          <w:rFonts w:ascii="仿宋" w:hAnsi="仿宋" w:eastAsia="仿宋"/>
          <w:color w:val="auto"/>
          <w:sz w:val="30"/>
          <w:szCs w:val="30"/>
        </w:rPr>
        <w:t>应予赔偿。</w:t>
      </w:r>
    </w:p>
    <w:p w14:paraId="2431807B">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w:t>
      </w:r>
      <w:r>
        <w:rPr>
          <w:rFonts w:ascii="仿宋" w:hAnsi="仿宋" w:eastAsia="仿宋"/>
          <w:color w:val="auto"/>
          <w:kern w:val="0"/>
          <w:sz w:val="30"/>
          <w:szCs w:val="30"/>
        </w:rPr>
        <w:t>乙方协助甲方完善相关的消防管理制度，并负责为甲方培训消防系统操作和维护人员，以便甲方人员能够正确操作，充分发挥消防设施的作用及减少事故发生。</w:t>
      </w:r>
    </w:p>
    <w:p w14:paraId="29148757">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（四）</w:t>
      </w:r>
      <w:r>
        <w:rPr>
          <w:rFonts w:ascii="仿宋" w:hAnsi="仿宋" w:eastAsia="仿宋"/>
          <w:color w:val="auto"/>
          <w:kern w:val="0"/>
          <w:sz w:val="30"/>
          <w:szCs w:val="30"/>
        </w:rPr>
        <w:t>乙方在维保工作中所发现的消防安全隐患，应及时告知甲方并提出改进意见，以便甲方采取有效措施排除隐患。</w:t>
      </w:r>
    </w:p>
    <w:p w14:paraId="446155B0">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（五）</w:t>
      </w:r>
      <w:r>
        <w:rPr>
          <w:rFonts w:ascii="仿宋" w:hAnsi="仿宋" w:eastAsia="仿宋"/>
          <w:color w:val="auto"/>
          <w:sz w:val="30"/>
          <w:szCs w:val="30"/>
        </w:rPr>
        <w:t>乙方承诺其派驻甲方从事维保服务的所有工作人员均已与乙方建立了合法的劳动关系，并保证该劳动关系在本合同履行期间合法存续，乙方自行承担其工作人员的各项保险（含社会保险）、工资、劳保福利及其它一切费用，乙方处理与其员工劳动纠纷不得影响本合同的正常履行；作业过程中，乙方应严格要求其工作人员遵守甲方各项管理制度，维护甲方项目的所有公共设施、设备，如有损坏甲方管理区域内物品或物业设施、设备的，乙方及其工作人员承担连带赔偿责任。</w:t>
      </w:r>
    </w:p>
    <w:p w14:paraId="1FA826CD">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（六）</w:t>
      </w:r>
      <w:r>
        <w:rPr>
          <w:rFonts w:ascii="仿宋" w:hAnsi="仿宋" w:eastAsia="仿宋"/>
          <w:color w:val="auto"/>
          <w:kern w:val="0"/>
          <w:sz w:val="30"/>
          <w:szCs w:val="30"/>
        </w:rPr>
        <w:t>乙方维保人员应遵守甲方物业管理规章制度，并接受甲方的监督、检查，参加甲方会议，积极沟通、及时汇报日常工作。</w:t>
      </w:r>
    </w:p>
    <w:p w14:paraId="4329EFBC">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（七）</w:t>
      </w:r>
      <w:r>
        <w:rPr>
          <w:rFonts w:ascii="仿宋" w:hAnsi="仿宋" w:eastAsia="仿宋"/>
          <w:color w:val="auto"/>
          <w:kern w:val="0"/>
          <w:sz w:val="30"/>
          <w:szCs w:val="30"/>
        </w:rPr>
        <w:t>乙方应严格按照国家相关规范和省、市公安消防部门的要求，对消防设备设施进行检查、维护，使消防系统一直处于正常运行状态。</w:t>
      </w:r>
    </w:p>
    <w:p w14:paraId="11EE648D">
      <w:pPr>
        <w:keepNext w:val="0"/>
        <w:keepLines w:val="0"/>
        <w:pageBreakBefore w:val="0"/>
        <w:widowControl/>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（八）</w:t>
      </w:r>
      <w:r>
        <w:rPr>
          <w:rFonts w:ascii="仿宋" w:hAnsi="仿宋" w:eastAsia="仿宋"/>
          <w:color w:val="auto"/>
          <w:kern w:val="0"/>
          <w:sz w:val="30"/>
          <w:szCs w:val="30"/>
        </w:rPr>
        <w:t>乙方应按照维护保养标准</w:t>
      </w:r>
      <w:r>
        <w:rPr>
          <w:rFonts w:ascii="仿宋" w:hAnsi="仿宋" w:eastAsia="仿宋"/>
          <w:color w:val="auto"/>
          <w:kern w:val="0"/>
          <w:sz w:val="30"/>
          <w:szCs w:val="30"/>
          <w:u w:val="single"/>
        </w:rPr>
        <w:t>（具体见本合同附件一）</w:t>
      </w:r>
      <w:r>
        <w:rPr>
          <w:rFonts w:ascii="仿宋" w:hAnsi="仿宋" w:eastAsia="仿宋"/>
          <w:color w:val="auto"/>
          <w:kern w:val="0"/>
          <w:sz w:val="30"/>
          <w:szCs w:val="30"/>
        </w:rPr>
        <w:t>，定期维护保养，每次维保后提供</w:t>
      </w:r>
      <w:r>
        <w:rPr>
          <w:rFonts w:hint="eastAsia" w:ascii="仿宋" w:hAnsi="仿宋" w:eastAsia="仿宋"/>
          <w:color w:val="auto"/>
          <w:kern w:val="0"/>
          <w:sz w:val="30"/>
          <w:szCs w:val="30"/>
        </w:rPr>
        <w:t>消防</w:t>
      </w:r>
      <w:r>
        <w:rPr>
          <w:rFonts w:ascii="仿宋" w:hAnsi="仿宋" w:eastAsia="仿宋"/>
          <w:color w:val="auto"/>
          <w:kern w:val="0"/>
          <w:sz w:val="30"/>
          <w:szCs w:val="30"/>
        </w:rPr>
        <w:t>维护保养记录供双方签字确认后存档。乙方应出具真实的维保报告，如提供虚假材料所引起的一切责任由乙方负责。</w:t>
      </w:r>
    </w:p>
    <w:p w14:paraId="55518CBC">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outlineLvl w:val="2"/>
        <w:rPr>
          <w:rFonts w:ascii="仿宋" w:hAnsi="仿宋" w:eastAsia="仿宋" w:cs="宋体"/>
          <w:color w:val="auto"/>
          <w:kern w:val="0"/>
          <w:sz w:val="30"/>
          <w:szCs w:val="30"/>
        </w:rPr>
      </w:pPr>
      <w:r>
        <w:rPr>
          <w:rFonts w:hint="eastAsia" w:ascii="仿宋" w:hAnsi="仿宋" w:eastAsia="仿宋"/>
          <w:color w:val="auto"/>
          <w:kern w:val="0"/>
          <w:sz w:val="30"/>
          <w:szCs w:val="30"/>
        </w:rPr>
        <w:t>（九）发现消防设施存在隐患时，</w:t>
      </w:r>
      <w:r>
        <w:rPr>
          <w:rFonts w:ascii="仿宋" w:hAnsi="仿宋" w:eastAsia="仿宋"/>
          <w:color w:val="auto"/>
          <w:kern w:val="0"/>
          <w:sz w:val="30"/>
          <w:szCs w:val="30"/>
        </w:rPr>
        <w:t>乙方承担并更换单件费用在</w:t>
      </w:r>
      <w:r>
        <w:rPr>
          <w:rFonts w:hint="eastAsia" w:ascii="仿宋" w:hAnsi="仿宋" w:eastAsia="仿宋"/>
          <w:color w:val="auto"/>
          <w:kern w:val="0"/>
          <w:sz w:val="30"/>
          <w:szCs w:val="30"/>
          <w:u w:val="single"/>
        </w:rPr>
        <w:t xml:space="preserve"> 200 </w:t>
      </w:r>
      <w:r>
        <w:rPr>
          <w:rFonts w:ascii="仿宋" w:hAnsi="仿宋" w:eastAsia="仿宋"/>
          <w:color w:val="auto"/>
          <w:kern w:val="0"/>
          <w:sz w:val="30"/>
          <w:szCs w:val="30"/>
        </w:rPr>
        <w:t>元（含）以下的材料配件，详见附件</w:t>
      </w:r>
      <w:r>
        <w:rPr>
          <w:rFonts w:hint="eastAsia" w:ascii="仿宋" w:hAnsi="仿宋" w:eastAsia="仿宋"/>
          <w:color w:val="auto"/>
          <w:kern w:val="0"/>
          <w:sz w:val="30"/>
          <w:szCs w:val="30"/>
        </w:rPr>
        <w:t>四《</w:t>
      </w:r>
      <w:r>
        <w:rPr>
          <w:rFonts w:hint="eastAsia" w:ascii="仿宋" w:hAnsi="仿宋" w:eastAsia="仿宋" w:cs="宋体"/>
          <w:color w:val="auto"/>
          <w:kern w:val="0"/>
          <w:sz w:val="30"/>
          <w:szCs w:val="30"/>
        </w:rPr>
        <w:t>单品单件</w:t>
      </w:r>
      <w:r>
        <w:rPr>
          <w:rFonts w:hint="eastAsia" w:ascii="仿宋" w:hAnsi="仿宋" w:eastAsia="仿宋" w:cs="宋体"/>
          <w:color w:val="auto"/>
          <w:kern w:val="0"/>
          <w:sz w:val="30"/>
          <w:szCs w:val="30"/>
          <w:u w:val="single"/>
        </w:rPr>
        <w:t xml:space="preserve"> 200 </w:t>
      </w:r>
      <w:r>
        <w:rPr>
          <w:rFonts w:hint="eastAsia" w:ascii="仿宋" w:hAnsi="仿宋" w:eastAsia="仿宋" w:cs="宋体"/>
          <w:color w:val="auto"/>
          <w:kern w:val="0"/>
          <w:sz w:val="30"/>
          <w:szCs w:val="30"/>
        </w:rPr>
        <w:t>元以下免费配件清单》</w:t>
      </w:r>
    </w:p>
    <w:p w14:paraId="5AC253E8">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（十）</w:t>
      </w:r>
      <w:r>
        <w:rPr>
          <w:rFonts w:ascii="仿宋" w:hAnsi="仿宋" w:eastAsia="仿宋"/>
          <w:color w:val="auto"/>
          <w:kern w:val="0"/>
          <w:sz w:val="30"/>
          <w:szCs w:val="30"/>
        </w:rPr>
        <w:t>乙方维保过程中，需更换消防材料时，应向甲方提供与更换消防材料相关的产品检验报告、合格证、质保期等书面文件，保证该消防材料系合格产品，并履行质保期义务。如因维保不当造成设备损坏，由乙方负责按市场价赔偿并承担因此产生的一切责任。</w:t>
      </w:r>
    </w:p>
    <w:p w14:paraId="4102FDEA">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kern w:val="0"/>
          <w:sz w:val="30"/>
          <w:szCs w:val="30"/>
        </w:rPr>
        <w:t>（十一）</w:t>
      </w:r>
      <w:r>
        <w:rPr>
          <w:rFonts w:ascii="仿宋" w:hAnsi="仿宋" w:eastAsia="仿宋"/>
          <w:color w:val="auto"/>
          <w:sz w:val="30"/>
          <w:szCs w:val="30"/>
        </w:rPr>
        <w:t>乙方提供24小时紧急消防设备设施维修服务，</w:t>
      </w:r>
      <w:r>
        <w:rPr>
          <w:rFonts w:hint="eastAsia" w:ascii="仿宋" w:hAnsi="仿宋" w:eastAsia="仿宋"/>
          <w:color w:val="auto"/>
          <w:sz w:val="30"/>
          <w:szCs w:val="30"/>
        </w:rPr>
        <w:t>联系人</w:t>
      </w:r>
      <w:r>
        <w:rPr>
          <w:rFonts w:ascii="仿宋" w:hAnsi="仿宋" w:eastAsia="仿宋"/>
          <w:color w:val="auto"/>
          <w:sz w:val="30"/>
          <w:szCs w:val="30"/>
          <w:u w:val="single"/>
        </w:rPr>
        <w:t xml:space="preserve"> </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，服务电话：</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w:t>
      </w:r>
      <w:r>
        <w:rPr>
          <w:rFonts w:ascii="仿宋" w:hAnsi="仿宋" w:eastAsia="仿宋"/>
          <w:color w:val="auto"/>
          <w:sz w:val="30"/>
          <w:szCs w:val="30"/>
        </w:rPr>
        <w:t>在消防设备出现危险情况或故障时，乙方在接到甲方电话或书面通知后，必须派现场维保</w:t>
      </w:r>
      <w:r>
        <w:rPr>
          <w:rFonts w:hint="eastAsia" w:ascii="仿宋" w:hAnsi="仿宋" w:eastAsia="仿宋"/>
          <w:color w:val="auto"/>
          <w:sz w:val="30"/>
          <w:szCs w:val="30"/>
        </w:rPr>
        <w:t>技术员</w:t>
      </w:r>
      <w:r>
        <w:rPr>
          <w:rFonts w:ascii="仿宋" w:hAnsi="仿宋" w:eastAsia="仿宋"/>
          <w:color w:val="auto"/>
          <w:sz w:val="30"/>
          <w:szCs w:val="30"/>
        </w:rPr>
        <w:t>于</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u w:val="none"/>
          <w:lang w:val="en-US" w:eastAsia="zh-CN"/>
        </w:rPr>
        <w:t xml:space="preserve">  </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u w:val="single"/>
        </w:rPr>
        <w:t>分钟</w:t>
      </w:r>
      <w:r>
        <w:rPr>
          <w:rFonts w:ascii="仿宋" w:hAnsi="仿宋" w:eastAsia="仿宋"/>
          <w:color w:val="auto"/>
          <w:sz w:val="30"/>
          <w:szCs w:val="30"/>
        </w:rPr>
        <w:t>内到达现场</w:t>
      </w:r>
      <w:r>
        <w:rPr>
          <w:rFonts w:hint="eastAsia" w:ascii="仿宋" w:hAnsi="仿宋" w:eastAsia="仿宋"/>
          <w:color w:val="auto"/>
          <w:sz w:val="30"/>
          <w:szCs w:val="30"/>
        </w:rPr>
        <w:t>，单位</w:t>
      </w:r>
      <w:r>
        <w:rPr>
          <w:rFonts w:ascii="仿宋" w:hAnsi="仿宋" w:eastAsia="仿宋"/>
          <w:color w:val="auto"/>
          <w:sz w:val="30"/>
          <w:szCs w:val="30"/>
        </w:rPr>
        <w:t>技术负责人</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小时内到达现场</w:t>
      </w:r>
      <w:r>
        <w:rPr>
          <w:rFonts w:ascii="仿宋" w:hAnsi="仿宋" w:eastAsia="仿宋"/>
          <w:color w:val="auto"/>
          <w:sz w:val="30"/>
          <w:szCs w:val="30"/>
        </w:rPr>
        <w:t>并及时处理</w:t>
      </w:r>
      <w:r>
        <w:rPr>
          <w:rFonts w:hint="eastAsia" w:ascii="仿宋" w:hAnsi="仿宋" w:eastAsia="仿宋"/>
          <w:color w:val="auto"/>
          <w:sz w:val="30"/>
          <w:szCs w:val="30"/>
        </w:rPr>
        <w:t>，</w:t>
      </w:r>
      <w:r>
        <w:rPr>
          <w:rFonts w:ascii="仿宋" w:hAnsi="仿宋" w:eastAsia="仿宋"/>
          <w:color w:val="auto"/>
          <w:sz w:val="30"/>
          <w:szCs w:val="30"/>
        </w:rPr>
        <w:t>承诺接到从报修到修复完好不超过</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小时</w:t>
      </w:r>
      <w:r>
        <w:rPr>
          <w:rFonts w:ascii="仿宋" w:hAnsi="仿宋" w:eastAsia="仿宋"/>
          <w:color w:val="auto"/>
          <w:sz w:val="30"/>
          <w:szCs w:val="30"/>
        </w:rPr>
        <w:t>；若遇到疑难设备故障问题或者是特殊材料修复期为</w:t>
      </w:r>
      <w:r>
        <w:rPr>
          <w:rFonts w:hint="eastAsia" w:ascii="仿宋" w:hAnsi="仿宋" w:eastAsia="仿宋"/>
          <w:color w:val="auto"/>
          <w:sz w:val="30"/>
          <w:szCs w:val="30"/>
          <w:u w:val="single"/>
        </w:rPr>
        <w:t xml:space="preserve"> 5个 </w:t>
      </w:r>
      <w:r>
        <w:rPr>
          <w:rFonts w:hint="eastAsia" w:ascii="仿宋" w:hAnsi="仿宋" w:eastAsia="仿宋"/>
          <w:color w:val="auto"/>
          <w:sz w:val="30"/>
          <w:szCs w:val="30"/>
        </w:rPr>
        <w:t>自然</w:t>
      </w:r>
      <w:r>
        <w:rPr>
          <w:rFonts w:ascii="仿宋" w:hAnsi="仿宋" w:eastAsia="仿宋"/>
          <w:color w:val="auto"/>
          <w:sz w:val="30"/>
          <w:szCs w:val="30"/>
        </w:rPr>
        <w:t>日。</w:t>
      </w:r>
    </w:p>
    <w:p w14:paraId="7AAD6B63">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（十二）消防系统、设备</w:t>
      </w:r>
      <w:r>
        <w:rPr>
          <w:rFonts w:ascii="仿宋" w:hAnsi="仿宋" w:eastAsia="仿宋"/>
          <w:color w:val="auto"/>
          <w:sz w:val="30"/>
          <w:szCs w:val="30"/>
        </w:rPr>
        <w:t>发生一般性故障的，乙方在</w:t>
      </w:r>
      <w:r>
        <w:rPr>
          <w:rFonts w:ascii="仿宋" w:hAnsi="仿宋" w:eastAsia="仿宋"/>
          <w:color w:val="auto"/>
          <w:sz w:val="30"/>
          <w:szCs w:val="30"/>
          <w:u w:val="single"/>
        </w:rPr>
        <w:t xml:space="preserve"> </w:t>
      </w:r>
      <w:r>
        <w:rPr>
          <w:rFonts w:hint="eastAsia" w:ascii="仿宋" w:hAnsi="仿宋" w:eastAsia="仿宋"/>
          <w:color w:val="auto"/>
          <w:sz w:val="30"/>
          <w:szCs w:val="30"/>
          <w:u w:val="single"/>
          <w:lang w:val="en-US" w:eastAsia="zh-CN"/>
        </w:rPr>
        <w:t xml:space="preserve"> </w:t>
      </w:r>
      <w:r>
        <w:rPr>
          <w:rFonts w:ascii="仿宋" w:hAnsi="仿宋" w:eastAsia="仿宋"/>
          <w:color w:val="auto"/>
          <w:sz w:val="30"/>
          <w:szCs w:val="30"/>
        </w:rPr>
        <w:t>小时内排除修复完毕，对影响整个系统的故障，乙方应安排人员尽快排除故障，恢复各系统正常运行。遇特殊情况（如无备件，特殊配件一时无法供应）不能及时修复时，经甲方同意后方可推迟修复。对点位性故障</w:t>
      </w:r>
      <w:r>
        <w:rPr>
          <w:rFonts w:ascii="仿宋" w:hAnsi="仿宋" w:eastAsia="仿宋"/>
          <w:color w:val="auto"/>
          <w:sz w:val="30"/>
          <w:szCs w:val="30"/>
          <w:u w:val="single"/>
        </w:rPr>
        <w:t xml:space="preserve"> </w:t>
      </w:r>
      <w:r>
        <w:rPr>
          <w:rFonts w:hint="eastAsia" w:ascii="仿宋" w:hAnsi="仿宋" w:eastAsia="仿宋"/>
          <w:color w:val="auto"/>
          <w:sz w:val="30"/>
          <w:szCs w:val="30"/>
          <w:u w:val="single"/>
        </w:rPr>
        <w:t xml:space="preserve"> </w:t>
      </w:r>
      <w:r>
        <w:rPr>
          <w:rFonts w:ascii="仿宋" w:hAnsi="仿宋" w:eastAsia="仿宋"/>
          <w:color w:val="auto"/>
          <w:sz w:val="30"/>
          <w:szCs w:val="30"/>
        </w:rPr>
        <w:t>小时内处理完毕，系统性故障</w:t>
      </w:r>
      <w:r>
        <w:rPr>
          <w:rFonts w:ascii="仿宋" w:hAnsi="仿宋" w:eastAsia="仿宋"/>
          <w:color w:val="auto"/>
          <w:sz w:val="30"/>
          <w:szCs w:val="30"/>
          <w:u w:val="single"/>
        </w:rPr>
        <w:t xml:space="preserve"> </w:t>
      </w:r>
      <w:r>
        <w:rPr>
          <w:rFonts w:hint="eastAsia" w:ascii="仿宋" w:hAnsi="仿宋" w:eastAsia="仿宋"/>
          <w:color w:val="auto"/>
          <w:sz w:val="30"/>
          <w:szCs w:val="30"/>
          <w:u w:val="single"/>
          <w:lang w:val="en-US" w:eastAsia="zh-CN"/>
        </w:rPr>
        <w:t xml:space="preserve">  </w:t>
      </w:r>
      <w:r>
        <w:rPr>
          <w:rFonts w:ascii="仿宋" w:hAnsi="仿宋" w:eastAsia="仿宋"/>
          <w:color w:val="auto"/>
          <w:sz w:val="30"/>
          <w:szCs w:val="30"/>
        </w:rPr>
        <w:t>小时内处理完毕（以甲方对故障的性质认定为准）</w:t>
      </w:r>
      <w:r>
        <w:rPr>
          <w:rFonts w:hint="eastAsia" w:ascii="仿宋" w:hAnsi="仿宋" w:eastAsia="仿宋"/>
          <w:color w:val="auto"/>
          <w:sz w:val="30"/>
          <w:szCs w:val="30"/>
        </w:rPr>
        <w:t>，处理超时的，乙方按</w:t>
      </w:r>
      <w:r>
        <w:rPr>
          <w:rFonts w:hint="eastAsia" w:ascii="仿宋" w:hAnsi="仿宋" w:eastAsia="仿宋"/>
          <w:color w:val="auto"/>
          <w:sz w:val="30"/>
          <w:szCs w:val="30"/>
          <w:u w:val="single"/>
        </w:rPr>
        <w:t xml:space="preserve"> 50 </w:t>
      </w:r>
      <w:r>
        <w:rPr>
          <w:rFonts w:hint="eastAsia" w:ascii="仿宋" w:hAnsi="仿宋" w:eastAsia="仿宋"/>
          <w:color w:val="auto"/>
          <w:sz w:val="30"/>
          <w:szCs w:val="30"/>
        </w:rPr>
        <w:t>元/小时向甲方支付违约金，甲方可在维保服务费中扣除前述违约金。</w:t>
      </w:r>
      <w:r>
        <w:rPr>
          <w:rFonts w:ascii="仿宋" w:hAnsi="仿宋" w:eastAsia="仿宋"/>
          <w:color w:val="auto"/>
          <w:sz w:val="30"/>
          <w:szCs w:val="30"/>
        </w:rPr>
        <w:t>如需换单件费用大于</w:t>
      </w:r>
      <w:r>
        <w:rPr>
          <w:rFonts w:hint="eastAsia" w:ascii="仿宋" w:hAnsi="仿宋" w:eastAsia="仿宋"/>
          <w:color w:val="auto"/>
          <w:sz w:val="30"/>
          <w:szCs w:val="30"/>
          <w:u w:val="single"/>
        </w:rPr>
        <w:t xml:space="preserve"> 200 </w:t>
      </w:r>
      <w:r>
        <w:rPr>
          <w:rFonts w:ascii="仿宋" w:hAnsi="仿宋" w:eastAsia="仿宋"/>
          <w:color w:val="auto"/>
          <w:sz w:val="30"/>
          <w:szCs w:val="30"/>
        </w:rPr>
        <w:t>元时，时限按甲方书面规定时限为准。</w:t>
      </w:r>
    </w:p>
    <w:p w14:paraId="38AFD8FC">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（十三）</w:t>
      </w:r>
      <w:r>
        <w:rPr>
          <w:rFonts w:ascii="仿宋" w:hAnsi="仿宋" w:eastAsia="仿宋"/>
          <w:color w:val="auto"/>
          <w:sz w:val="30"/>
          <w:szCs w:val="30"/>
        </w:rPr>
        <w:t>当系统损害严重，需更换设备或大修时，由乙方负责填报计划表，交甲方审核，设备可由甲方自行购买，或委托乙方提供，乙方可根据甲方提出的现场需要更换设备的规格、数量，积极配合甲方完成采购、安装工作，其设备采购费用由甲方承担。</w:t>
      </w:r>
    </w:p>
    <w:p w14:paraId="273F0045">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（十四）</w:t>
      </w:r>
      <w:r>
        <w:rPr>
          <w:rFonts w:ascii="仿宋" w:hAnsi="仿宋" w:eastAsia="仿宋"/>
          <w:color w:val="auto"/>
          <w:sz w:val="30"/>
          <w:szCs w:val="30"/>
        </w:rPr>
        <w:t>乙方应当按合同附件中的维修保养方案、标准规定各项全面履约。</w:t>
      </w:r>
    </w:p>
    <w:p w14:paraId="4CF18677">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（十五）</w:t>
      </w:r>
      <w:r>
        <w:rPr>
          <w:rFonts w:ascii="仿宋" w:hAnsi="仿宋" w:eastAsia="仿宋"/>
          <w:color w:val="auto"/>
          <w:sz w:val="30"/>
          <w:szCs w:val="30"/>
        </w:rPr>
        <w:t>乙方员工</w:t>
      </w:r>
      <w:r>
        <w:rPr>
          <w:rFonts w:hint="eastAsia" w:ascii="仿宋" w:hAnsi="仿宋" w:eastAsia="仿宋"/>
          <w:color w:val="auto"/>
          <w:sz w:val="30"/>
          <w:szCs w:val="30"/>
        </w:rPr>
        <w:t>及其雇佣人员</w:t>
      </w:r>
      <w:r>
        <w:rPr>
          <w:rFonts w:ascii="仿宋" w:hAnsi="仿宋" w:eastAsia="仿宋"/>
          <w:color w:val="auto"/>
          <w:sz w:val="30"/>
          <w:szCs w:val="30"/>
        </w:rPr>
        <w:t>人身事故处理</w:t>
      </w:r>
    </w:p>
    <w:p w14:paraId="6FB73D92">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1、</w:t>
      </w:r>
      <w:r>
        <w:rPr>
          <w:rFonts w:ascii="仿宋" w:hAnsi="仿宋" w:eastAsia="仿宋"/>
          <w:color w:val="auto"/>
          <w:sz w:val="30"/>
          <w:szCs w:val="30"/>
        </w:rPr>
        <w:t>乙方员工</w:t>
      </w:r>
      <w:r>
        <w:rPr>
          <w:rFonts w:hint="eastAsia" w:ascii="仿宋" w:hAnsi="仿宋" w:eastAsia="仿宋"/>
          <w:color w:val="auto"/>
          <w:sz w:val="30"/>
          <w:szCs w:val="30"/>
        </w:rPr>
        <w:t>及其雇佣人员</w:t>
      </w:r>
      <w:r>
        <w:rPr>
          <w:rFonts w:ascii="仿宋" w:hAnsi="仿宋" w:eastAsia="仿宋"/>
          <w:color w:val="auto"/>
          <w:sz w:val="30"/>
          <w:szCs w:val="30"/>
        </w:rPr>
        <w:t>在本合同施工/服务过程中出现人身伤害事故的，应由乙方自行承担医疗及其他一切赔偿费用，如因乙方违反本约定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color w:val="auto"/>
          <w:sz w:val="30"/>
          <w:szCs w:val="30"/>
        </w:rPr>
        <w:t>诉讼财产保全担保责任保险费、</w:t>
      </w:r>
      <w:r>
        <w:rPr>
          <w:rFonts w:ascii="仿宋" w:hAnsi="仿宋" w:eastAsia="仿宋"/>
          <w:color w:val="auto"/>
          <w:sz w:val="30"/>
          <w:szCs w:val="30"/>
        </w:rPr>
        <w:t>公证费、鉴定费、差旅费）由乙方承担。</w:t>
      </w:r>
    </w:p>
    <w:p w14:paraId="6DBD1CE8">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2、</w:t>
      </w:r>
      <w:r>
        <w:rPr>
          <w:rFonts w:ascii="仿宋" w:hAnsi="仿宋" w:eastAsia="仿宋"/>
          <w:color w:val="auto"/>
          <w:sz w:val="30"/>
          <w:szCs w:val="30"/>
        </w:rPr>
        <w:t>乙方应保证员工</w:t>
      </w:r>
      <w:r>
        <w:rPr>
          <w:rFonts w:hint="eastAsia" w:ascii="仿宋" w:hAnsi="仿宋" w:eastAsia="仿宋"/>
          <w:color w:val="auto"/>
          <w:sz w:val="30"/>
          <w:szCs w:val="30"/>
        </w:rPr>
        <w:t>及其雇佣人员</w:t>
      </w:r>
      <w:r>
        <w:rPr>
          <w:rFonts w:ascii="仿宋" w:hAnsi="仿宋" w:eastAsia="仿宋"/>
          <w:color w:val="auto"/>
          <w:sz w:val="30"/>
          <w:szCs w:val="30"/>
        </w:rPr>
        <w:t>出现人身伤害事故后，在出现事故当天即时安排人员进行替换，不得耽误施工/服务进度。</w:t>
      </w:r>
    </w:p>
    <w:p w14:paraId="4989E411">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3、</w:t>
      </w:r>
      <w:r>
        <w:rPr>
          <w:rFonts w:ascii="仿宋" w:hAnsi="仿宋" w:eastAsia="仿宋"/>
          <w:color w:val="auto"/>
          <w:sz w:val="30"/>
          <w:szCs w:val="30"/>
        </w:rPr>
        <w:t>乙方违反上述第</w:t>
      </w:r>
      <w:r>
        <w:rPr>
          <w:rFonts w:hint="eastAsia" w:ascii="仿宋" w:hAnsi="仿宋" w:eastAsia="仿宋"/>
          <w:color w:val="auto"/>
          <w:sz w:val="30"/>
          <w:szCs w:val="30"/>
        </w:rPr>
        <w:t>1</w:t>
      </w:r>
      <w:r>
        <w:rPr>
          <w:rFonts w:ascii="仿宋" w:hAnsi="仿宋" w:eastAsia="仿宋"/>
          <w:color w:val="auto"/>
          <w:sz w:val="30"/>
          <w:szCs w:val="30"/>
        </w:rPr>
        <w:t>、</w:t>
      </w:r>
      <w:r>
        <w:rPr>
          <w:rFonts w:hint="eastAsia" w:ascii="仿宋" w:hAnsi="仿宋" w:eastAsia="仿宋"/>
          <w:color w:val="auto"/>
          <w:sz w:val="30"/>
          <w:szCs w:val="30"/>
        </w:rPr>
        <w:t>2</w:t>
      </w:r>
      <w:r>
        <w:rPr>
          <w:rFonts w:ascii="仿宋" w:hAnsi="仿宋" w:eastAsia="仿宋"/>
          <w:color w:val="auto"/>
          <w:sz w:val="30"/>
          <w:szCs w:val="30"/>
        </w:rPr>
        <w:t>款规定的，甲方可随时解除合同并不承担任何责任；乙方造成甲方垫付费用及维权费用</w:t>
      </w:r>
      <w:r>
        <w:rPr>
          <w:rFonts w:hint="eastAsia" w:ascii="仿宋" w:hAnsi="仿宋" w:eastAsia="仿宋"/>
          <w:color w:val="auto"/>
          <w:sz w:val="30"/>
          <w:szCs w:val="30"/>
        </w:rPr>
        <w:t>损失及</w:t>
      </w:r>
      <w:r>
        <w:rPr>
          <w:rFonts w:ascii="仿宋" w:hAnsi="仿宋" w:eastAsia="仿宋"/>
          <w:color w:val="auto"/>
          <w:sz w:val="30"/>
          <w:szCs w:val="30"/>
        </w:rPr>
        <w:t>其他损失</w:t>
      </w:r>
      <w:r>
        <w:rPr>
          <w:rFonts w:hint="eastAsia" w:ascii="仿宋" w:hAnsi="仿宋" w:eastAsia="仿宋"/>
          <w:color w:val="auto"/>
          <w:sz w:val="30"/>
          <w:szCs w:val="30"/>
        </w:rPr>
        <w:t>的</w:t>
      </w:r>
      <w:r>
        <w:rPr>
          <w:rFonts w:ascii="仿宋" w:hAnsi="仿宋" w:eastAsia="仿宋"/>
          <w:color w:val="auto"/>
          <w:sz w:val="30"/>
          <w:szCs w:val="30"/>
        </w:rPr>
        <w:t>，</w:t>
      </w:r>
      <w:r>
        <w:rPr>
          <w:rFonts w:hint="eastAsia" w:ascii="仿宋" w:hAnsi="仿宋" w:eastAsia="仿宋"/>
          <w:color w:val="auto"/>
          <w:sz w:val="30"/>
          <w:szCs w:val="30"/>
        </w:rPr>
        <w:t>均</w:t>
      </w:r>
      <w:r>
        <w:rPr>
          <w:rFonts w:ascii="仿宋" w:hAnsi="仿宋" w:eastAsia="仿宋"/>
          <w:color w:val="auto"/>
          <w:sz w:val="30"/>
          <w:szCs w:val="30"/>
        </w:rPr>
        <w:t>应予赔偿。</w:t>
      </w:r>
    </w:p>
    <w:p w14:paraId="01C9072A">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（十六）</w:t>
      </w:r>
      <w:r>
        <w:rPr>
          <w:rFonts w:ascii="仿宋" w:hAnsi="仿宋" w:eastAsia="仿宋"/>
          <w:color w:val="auto"/>
          <w:sz w:val="30"/>
          <w:szCs w:val="30"/>
        </w:rPr>
        <w:t>第三方人身、财产事故处理</w:t>
      </w:r>
    </w:p>
    <w:p w14:paraId="61979526">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1、</w:t>
      </w:r>
      <w:r>
        <w:rPr>
          <w:rFonts w:ascii="仿宋" w:hAnsi="仿宋" w:eastAsia="仿宋"/>
          <w:color w:val="auto"/>
          <w:sz w:val="30"/>
          <w:szCs w:val="30"/>
        </w:rPr>
        <w:t>如乙方</w:t>
      </w:r>
      <w:r>
        <w:rPr>
          <w:rFonts w:hint="eastAsia" w:ascii="仿宋" w:hAnsi="仿宋" w:eastAsia="仿宋"/>
          <w:color w:val="auto"/>
          <w:sz w:val="30"/>
          <w:szCs w:val="30"/>
        </w:rPr>
        <w:t>或</w:t>
      </w:r>
      <w:r>
        <w:rPr>
          <w:rFonts w:ascii="仿宋" w:hAnsi="仿宋" w:eastAsia="仿宋"/>
          <w:color w:val="auto"/>
          <w:sz w:val="30"/>
          <w:szCs w:val="30"/>
        </w:rPr>
        <w:t>其员工、雇用人员在施工/服务过程中造成其他第三方人身、财产损害的，应由乙方自行承担损害赔偿责任。如因乙方违反本约定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color w:val="auto"/>
          <w:sz w:val="30"/>
          <w:szCs w:val="30"/>
        </w:rPr>
        <w:t>诉讼财产保全担保责任保险费、</w:t>
      </w:r>
      <w:r>
        <w:rPr>
          <w:rFonts w:ascii="仿宋" w:hAnsi="仿宋" w:eastAsia="仿宋"/>
          <w:color w:val="auto"/>
          <w:sz w:val="30"/>
          <w:szCs w:val="30"/>
        </w:rPr>
        <w:t>公证费、鉴定费、差旅费）由乙方承担。</w:t>
      </w:r>
    </w:p>
    <w:p w14:paraId="1B19EE12">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2、</w:t>
      </w:r>
      <w:r>
        <w:rPr>
          <w:rFonts w:ascii="仿宋" w:hAnsi="仿宋" w:eastAsia="仿宋"/>
          <w:color w:val="auto"/>
          <w:sz w:val="30"/>
          <w:szCs w:val="30"/>
        </w:rPr>
        <w:t>乙方违反上述第</w:t>
      </w:r>
      <w:r>
        <w:rPr>
          <w:rFonts w:hint="eastAsia" w:ascii="仿宋" w:hAnsi="仿宋" w:eastAsia="仿宋"/>
          <w:color w:val="auto"/>
          <w:sz w:val="30"/>
          <w:szCs w:val="30"/>
        </w:rPr>
        <w:t>1</w:t>
      </w:r>
      <w:r>
        <w:rPr>
          <w:rFonts w:ascii="仿宋" w:hAnsi="仿宋" w:eastAsia="仿宋"/>
          <w:color w:val="auto"/>
          <w:sz w:val="30"/>
          <w:szCs w:val="30"/>
        </w:rPr>
        <w:t>款规定的，甲方可随时解除合同并不承担任何责任；乙方造成甲方垫付费用及维权费用</w:t>
      </w:r>
      <w:r>
        <w:rPr>
          <w:rFonts w:hint="eastAsia" w:ascii="仿宋" w:hAnsi="仿宋" w:eastAsia="仿宋"/>
          <w:color w:val="auto"/>
          <w:sz w:val="30"/>
          <w:szCs w:val="30"/>
        </w:rPr>
        <w:t>损失及</w:t>
      </w:r>
      <w:r>
        <w:rPr>
          <w:rFonts w:ascii="仿宋" w:hAnsi="仿宋" w:eastAsia="仿宋"/>
          <w:color w:val="auto"/>
          <w:sz w:val="30"/>
          <w:szCs w:val="30"/>
        </w:rPr>
        <w:t>其他损失</w:t>
      </w:r>
      <w:r>
        <w:rPr>
          <w:rFonts w:hint="eastAsia" w:ascii="仿宋" w:hAnsi="仿宋" w:eastAsia="仿宋"/>
          <w:color w:val="auto"/>
          <w:sz w:val="30"/>
          <w:szCs w:val="30"/>
        </w:rPr>
        <w:t>的</w:t>
      </w:r>
      <w:r>
        <w:rPr>
          <w:rFonts w:ascii="仿宋" w:hAnsi="仿宋" w:eastAsia="仿宋"/>
          <w:color w:val="auto"/>
          <w:sz w:val="30"/>
          <w:szCs w:val="30"/>
        </w:rPr>
        <w:t>，</w:t>
      </w:r>
      <w:r>
        <w:rPr>
          <w:rFonts w:hint="eastAsia" w:ascii="仿宋" w:hAnsi="仿宋" w:eastAsia="仿宋"/>
          <w:color w:val="auto"/>
          <w:sz w:val="30"/>
          <w:szCs w:val="30"/>
        </w:rPr>
        <w:t>均</w:t>
      </w:r>
      <w:r>
        <w:rPr>
          <w:rFonts w:ascii="仿宋" w:hAnsi="仿宋" w:eastAsia="仿宋"/>
          <w:color w:val="auto"/>
          <w:sz w:val="30"/>
          <w:szCs w:val="30"/>
        </w:rPr>
        <w:t>应予赔偿。</w:t>
      </w:r>
    </w:p>
    <w:p w14:paraId="75FE0E9E">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（十七）</w:t>
      </w:r>
      <w:r>
        <w:rPr>
          <w:rFonts w:ascii="仿宋" w:hAnsi="仿宋" w:eastAsia="仿宋"/>
          <w:color w:val="auto"/>
          <w:sz w:val="30"/>
          <w:szCs w:val="30"/>
        </w:rPr>
        <w:t>财产损坏赔偿责任</w:t>
      </w:r>
    </w:p>
    <w:p w14:paraId="6807FD61">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乙方</w:t>
      </w:r>
      <w:r>
        <w:rPr>
          <w:rFonts w:hint="eastAsia" w:ascii="仿宋" w:hAnsi="仿宋" w:eastAsia="仿宋"/>
          <w:color w:val="auto"/>
          <w:sz w:val="30"/>
          <w:szCs w:val="30"/>
        </w:rPr>
        <w:t>或</w:t>
      </w:r>
      <w:r>
        <w:rPr>
          <w:rFonts w:ascii="仿宋" w:hAnsi="仿宋" w:eastAsia="仿宋"/>
          <w:color w:val="auto"/>
          <w:sz w:val="30"/>
          <w:szCs w:val="30"/>
        </w:rPr>
        <w:t>其员工</w:t>
      </w:r>
      <w:r>
        <w:rPr>
          <w:rFonts w:hint="eastAsia" w:ascii="仿宋" w:hAnsi="仿宋" w:eastAsia="仿宋"/>
          <w:color w:val="auto"/>
          <w:sz w:val="30"/>
          <w:szCs w:val="30"/>
        </w:rPr>
        <w:t>、雇佣人员</w:t>
      </w:r>
      <w:r>
        <w:rPr>
          <w:rFonts w:ascii="仿宋" w:hAnsi="仿宋" w:eastAsia="仿宋"/>
          <w:color w:val="auto"/>
          <w:sz w:val="30"/>
          <w:szCs w:val="30"/>
        </w:rPr>
        <w:t>在施工/服务过程中导致甲方或第三方已有财产损失的（无论故意或过失），应按照购置价赔偿。赔偿标准以甲方或第三方提供的发票或收款收据或其他可以佐证的凭证为准。</w:t>
      </w:r>
    </w:p>
    <w:p w14:paraId="06FC62EB">
      <w:pPr>
        <w:keepNext w:val="0"/>
        <w:keepLines w:val="0"/>
        <w:pageBreakBefore w:val="0"/>
        <w:kinsoku/>
        <w:wordWrap/>
        <w:overflowPunct/>
        <w:topLinePunct w:val="0"/>
        <w:autoSpaceDE/>
        <w:autoSpaceDN/>
        <w:bidi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（十八）</w:t>
      </w:r>
      <w:r>
        <w:rPr>
          <w:rFonts w:ascii="仿宋" w:hAnsi="仿宋" w:eastAsia="仿宋"/>
          <w:color w:val="auto"/>
          <w:sz w:val="30"/>
          <w:szCs w:val="30"/>
        </w:rPr>
        <w:t>行政/刑事责任</w:t>
      </w:r>
    </w:p>
    <w:p w14:paraId="527D7EA7">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1、</w:t>
      </w:r>
      <w:r>
        <w:rPr>
          <w:rFonts w:ascii="仿宋" w:hAnsi="仿宋" w:eastAsia="仿宋"/>
          <w:color w:val="auto"/>
          <w:sz w:val="30"/>
          <w:szCs w:val="30"/>
        </w:rPr>
        <w:t>乙方或其员工、雇佣人员在施工/服务过程中因违规操作、操作不当或因资质失效导致甲方或本合同对应服务项目遭受行政处罚的，乙方应无条件配合甲方处理协调，涉及行政罚款及损失赔偿的，应由乙方承担全部责任，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先行垫付损失或</w:t>
      </w:r>
      <w:r>
        <w:rPr>
          <w:rFonts w:hint="eastAsia" w:ascii="仿宋" w:hAnsi="仿宋" w:eastAsia="仿宋"/>
          <w:color w:val="auto"/>
          <w:sz w:val="30"/>
          <w:szCs w:val="30"/>
        </w:rPr>
        <w:t>其他款项</w:t>
      </w:r>
      <w:r>
        <w:rPr>
          <w:rFonts w:ascii="仿宋" w:hAnsi="仿宋" w:eastAsia="仿宋"/>
          <w:color w:val="auto"/>
          <w:sz w:val="30"/>
          <w:szCs w:val="30"/>
        </w:rPr>
        <w:t>的，乙方应在甲方垫付</w:t>
      </w:r>
      <w:r>
        <w:rPr>
          <w:rFonts w:hint="eastAsia" w:ascii="仿宋" w:hAnsi="仿宋" w:eastAsia="仿宋"/>
          <w:color w:val="auto"/>
          <w:sz w:val="30"/>
          <w:szCs w:val="30"/>
        </w:rPr>
        <w:t>、支付</w:t>
      </w:r>
      <w:r>
        <w:rPr>
          <w:rFonts w:ascii="仿宋" w:hAnsi="仿宋" w:eastAsia="仿宋"/>
          <w:color w:val="auto"/>
          <w:sz w:val="30"/>
          <w:szCs w:val="30"/>
        </w:rPr>
        <w:t>完毕之日起三日内偿还甲方，因乙方拒绝偿还甲方垫付款项而致使甲方产生的维权费用（包括但不限于：律师费、保全费、</w:t>
      </w:r>
      <w:r>
        <w:rPr>
          <w:rFonts w:hint="eastAsia" w:ascii="仿宋" w:hAnsi="仿宋" w:eastAsia="仿宋"/>
          <w:color w:val="auto"/>
          <w:sz w:val="30"/>
          <w:szCs w:val="30"/>
        </w:rPr>
        <w:t>诉讼财产保全担保责任保险费、</w:t>
      </w:r>
      <w:r>
        <w:rPr>
          <w:rFonts w:ascii="仿宋" w:hAnsi="仿宋" w:eastAsia="仿宋"/>
          <w:color w:val="auto"/>
          <w:sz w:val="30"/>
          <w:szCs w:val="30"/>
        </w:rPr>
        <w:t>公证费、鉴定费、差旅费）由乙方承担。</w:t>
      </w:r>
    </w:p>
    <w:p w14:paraId="355514BC">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2、</w:t>
      </w:r>
      <w:r>
        <w:rPr>
          <w:rFonts w:ascii="仿宋" w:hAnsi="仿宋" w:eastAsia="仿宋"/>
          <w:color w:val="auto"/>
          <w:sz w:val="30"/>
          <w:szCs w:val="30"/>
        </w:rPr>
        <w:t>乙方在施工/服务过程中造成安全责任事故的（无论最终是否被政府认定为“安全生产事故”），一切经济责任和其他行政、刑事责任</w:t>
      </w:r>
      <w:r>
        <w:rPr>
          <w:rFonts w:hint="eastAsia" w:ascii="仿宋" w:hAnsi="仿宋" w:eastAsia="仿宋"/>
          <w:color w:val="auto"/>
          <w:sz w:val="30"/>
          <w:szCs w:val="30"/>
        </w:rPr>
        <w:t>（赔偿、罚款、罚金、滞纳金）</w:t>
      </w:r>
      <w:r>
        <w:rPr>
          <w:rFonts w:ascii="仿宋" w:hAnsi="仿宋" w:eastAsia="仿宋"/>
          <w:color w:val="auto"/>
          <w:sz w:val="30"/>
          <w:szCs w:val="30"/>
        </w:rPr>
        <w:t>均由乙方承担。同时，乙方应无条件配合甲方进行事故后续安排工作，直到全部处理完毕为止。涉及行政责任或刑事责任的，乙方应无条件配合甲方，直到甲方收到政府部门正式结案文件为止。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先行垫付损失或</w:t>
      </w:r>
      <w:r>
        <w:rPr>
          <w:rFonts w:hint="eastAsia" w:ascii="仿宋" w:hAnsi="仿宋" w:eastAsia="仿宋"/>
          <w:color w:val="auto"/>
          <w:sz w:val="30"/>
          <w:szCs w:val="30"/>
        </w:rPr>
        <w:t>支付其他款项</w:t>
      </w:r>
      <w:r>
        <w:rPr>
          <w:rFonts w:ascii="仿宋" w:hAnsi="仿宋" w:eastAsia="仿宋"/>
          <w:color w:val="auto"/>
          <w:sz w:val="30"/>
          <w:szCs w:val="30"/>
        </w:rPr>
        <w:t>的，乙方应在甲方垫付</w:t>
      </w:r>
      <w:r>
        <w:rPr>
          <w:rFonts w:hint="eastAsia" w:ascii="仿宋" w:hAnsi="仿宋" w:eastAsia="仿宋"/>
          <w:color w:val="auto"/>
          <w:sz w:val="30"/>
          <w:szCs w:val="30"/>
        </w:rPr>
        <w:t>、支付</w:t>
      </w:r>
      <w:r>
        <w:rPr>
          <w:rFonts w:ascii="仿宋" w:hAnsi="仿宋" w:eastAsia="仿宋"/>
          <w:color w:val="auto"/>
          <w:sz w:val="30"/>
          <w:szCs w:val="30"/>
        </w:rPr>
        <w:t>完毕之日起三日内偿还甲方，因乙方拒绝偿还甲方垫付款项而致使甲方产生的维权费用（包括但不限于：律师费、保全费、</w:t>
      </w:r>
      <w:r>
        <w:rPr>
          <w:rFonts w:hint="eastAsia" w:ascii="仿宋" w:hAnsi="仿宋" w:eastAsia="仿宋"/>
          <w:color w:val="auto"/>
          <w:sz w:val="30"/>
          <w:szCs w:val="30"/>
        </w:rPr>
        <w:t>诉讼财产保全担保责任保险费、</w:t>
      </w:r>
      <w:r>
        <w:rPr>
          <w:rFonts w:ascii="仿宋" w:hAnsi="仿宋" w:eastAsia="仿宋"/>
          <w:color w:val="auto"/>
          <w:sz w:val="30"/>
          <w:szCs w:val="30"/>
        </w:rPr>
        <w:t>公证费、鉴定费、差旅费）由乙方承担。</w:t>
      </w:r>
    </w:p>
    <w:p w14:paraId="17065D9D">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3、</w:t>
      </w:r>
      <w:r>
        <w:rPr>
          <w:rFonts w:ascii="仿宋" w:hAnsi="仿宋" w:eastAsia="仿宋"/>
          <w:color w:val="auto"/>
          <w:sz w:val="30"/>
          <w:szCs w:val="30"/>
        </w:rPr>
        <w:t>乙方违反上述第</w:t>
      </w:r>
      <w:r>
        <w:rPr>
          <w:rFonts w:hint="eastAsia" w:ascii="仿宋" w:hAnsi="仿宋" w:eastAsia="仿宋"/>
          <w:color w:val="auto"/>
          <w:sz w:val="30"/>
          <w:szCs w:val="30"/>
        </w:rPr>
        <w:t>1</w:t>
      </w:r>
      <w:r>
        <w:rPr>
          <w:rFonts w:ascii="仿宋" w:hAnsi="仿宋" w:eastAsia="仿宋"/>
          <w:color w:val="auto"/>
          <w:sz w:val="30"/>
          <w:szCs w:val="30"/>
        </w:rPr>
        <w:t>、</w:t>
      </w:r>
      <w:r>
        <w:rPr>
          <w:rFonts w:hint="eastAsia" w:ascii="仿宋" w:hAnsi="仿宋" w:eastAsia="仿宋"/>
          <w:color w:val="auto"/>
          <w:sz w:val="30"/>
          <w:szCs w:val="30"/>
        </w:rPr>
        <w:t>2</w:t>
      </w:r>
      <w:r>
        <w:rPr>
          <w:rFonts w:ascii="仿宋" w:hAnsi="仿宋" w:eastAsia="仿宋"/>
          <w:color w:val="auto"/>
          <w:sz w:val="30"/>
          <w:szCs w:val="30"/>
        </w:rPr>
        <w:t>款规定的，甲方可随时解除合同并不承担任何责任；乙方造成甲方垫付费用及维权费用</w:t>
      </w:r>
      <w:r>
        <w:rPr>
          <w:rFonts w:hint="eastAsia" w:ascii="仿宋" w:hAnsi="仿宋" w:eastAsia="仿宋"/>
          <w:color w:val="auto"/>
          <w:sz w:val="30"/>
          <w:szCs w:val="30"/>
        </w:rPr>
        <w:t>损失及</w:t>
      </w:r>
      <w:r>
        <w:rPr>
          <w:rFonts w:ascii="仿宋" w:hAnsi="仿宋" w:eastAsia="仿宋"/>
          <w:color w:val="auto"/>
          <w:sz w:val="30"/>
          <w:szCs w:val="30"/>
        </w:rPr>
        <w:t>其他损失</w:t>
      </w:r>
      <w:r>
        <w:rPr>
          <w:rFonts w:hint="eastAsia" w:ascii="仿宋" w:hAnsi="仿宋" w:eastAsia="仿宋"/>
          <w:color w:val="auto"/>
          <w:sz w:val="30"/>
          <w:szCs w:val="30"/>
        </w:rPr>
        <w:t>的</w:t>
      </w:r>
      <w:r>
        <w:rPr>
          <w:rFonts w:ascii="仿宋" w:hAnsi="仿宋" w:eastAsia="仿宋"/>
          <w:color w:val="auto"/>
          <w:sz w:val="30"/>
          <w:szCs w:val="30"/>
        </w:rPr>
        <w:t>，</w:t>
      </w:r>
      <w:r>
        <w:rPr>
          <w:rFonts w:hint="eastAsia" w:ascii="仿宋" w:hAnsi="仿宋" w:eastAsia="仿宋"/>
          <w:color w:val="auto"/>
          <w:sz w:val="30"/>
          <w:szCs w:val="30"/>
        </w:rPr>
        <w:t>均</w:t>
      </w:r>
      <w:r>
        <w:rPr>
          <w:rFonts w:ascii="仿宋" w:hAnsi="仿宋" w:eastAsia="仿宋"/>
          <w:color w:val="auto"/>
          <w:sz w:val="30"/>
          <w:szCs w:val="30"/>
        </w:rPr>
        <w:t>应予赔偿。</w:t>
      </w:r>
    </w:p>
    <w:p w14:paraId="1E82BBFC">
      <w:pPr>
        <w:keepNext w:val="0"/>
        <w:keepLines w:val="0"/>
        <w:pageBreakBefore w:val="0"/>
        <w:tabs>
          <w:tab w:val="left" w:pos="1080"/>
        </w:tabs>
        <w:kinsoku/>
        <w:wordWrap/>
        <w:overflowPunct/>
        <w:topLinePunct w:val="0"/>
        <w:autoSpaceDE/>
        <w:autoSpaceDN/>
        <w:bidi w:val="0"/>
        <w:snapToGrid w:val="0"/>
        <w:spacing w:line="470" w:lineRule="exact"/>
        <w:ind w:firstLine="300" w:firstLineChars="100"/>
        <w:textAlignment w:val="auto"/>
        <w:rPr>
          <w:rFonts w:ascii="仿宋" w:hAnsi="仿宋" w:eastAsia="仿宋"/>
          <w:b/>
          <w:color w:val="auto"/>
          <w:sz w:val="30"/>
          <w:szCs w:val="30"/>
        </w:rPr>
      </w:pPr>
      <w:r>
        <w:rPr>
          <w:rFonts w:hint="eastAsia" w:ascii="仿宋" w:hAnsi="仿宋" w:eastAsia="仿宋"/>
          <w:color w:val="auto"/>
          <w:sz w:val="30"/>
          <w:szCs w:val="30"/>
        </w:rPr>
        <w:t>（十九）每年12月份，乙方应根据备件使用寿命及现状提交下年度需要更换的配件清单。</w:t>
      </w:r>
    </w:p>
    <w:p w14:paraId="23E45816">
      <w:pPr>
        <w:keepNext w:val="0"/>
        <w:keepLines w:val="0"/>
        <w:pageBreakBefore w:val="0"/>
        <w:tabs>
          <w:tab w:val="left" w:pos="1080"/>
        </w:tabs>
        <w:kinsoku/>
        <w:wordWrap/>
        <w:overflowPunct/>
        <w:topLinePunct w:val="0"/>
        <w:autoSpaceDE/>
        <w:autoSpaceDN/>
        <w:bidi w:val="0"/>
        <w:snapToGrid w:val="0"/>
        <w:spacing w:line="470" w:lineRule="exact"/>
        <w:ind w:firstLine="300" w:firstLineChars="100"/>
        <w:textAlignment w:val="auto"/>
        <w:rPr>
          <w:rFonts w:ascii="仿宋" w:hAnsi="仿宋" w:eastAsia="仿宋"/>
          <w:color w:val="auto"/>
          <w:sz w:val="30"/>
          <w:szCs w:val="30"/>
        </w:rPr>
      </w:pPr>
      <w:r>
        <w:rPr>
          <w:rFonts w:hint="eastAsia" w:ascii="仿宋" w:hAnsi="仿宋" w:eastAsia="仿宋"/>
          <w:color w:val="auto"/>
          <w:sz w:val="30"/>
          <w:szCs w:val="30"/>
        </w:rPr>
        <w:t>（二十）乙方每</w:t>
      </w:r>
      <w:r>
        <w:rPr>
          <w:rFonts w:hint="eastAsia" w:ascii="仿宋" w:hAnsi="仿宋" w:eastAsia="仿宋"/>
          <w:color w:val="auto"/>
          <w:sz w:val="30"/>
          <w:szCs w:val="30"/>
          <w:u w:val="single"/>
        </w:rPr>
        <w:t>季度</w:t>
      </w:r>
      <w:r>
        <w:rPr>
          <w:rFonts w:hint="eastAsia" w:ascii="仿宋" w:hAnsi="仿宋" w:eastAsia="仿宋"/>
          <w:color w:val="auto"/>
          <w:sz w:val="30"/>
          <w:szCs w:val="30"/>
        </w:rPr>
        <w:t>向甲方提交维保总结，总结模板参见附件二。乙方2</w:t>
      </w:r>
      <w:r>
        <w:rPr>
          <w:rFonts w:ascii="仿宋" w:hAnsi="仿宋" w:eastAsia="仿宋"/>
          <w:color w:val="auto"/>
          <w:sz w:val="30"/>
          <w:szCs w:val="30"/>
        </w:rPr>
        <w:t>02</w:t>
      </w:r>
      <w:r>
        <w:rPr>
          <w:rFonts w:hint="eastAsia" w:ascii="仿宋" w:hAnsi="仿宋" w:eastAsia="仿宋"/>
          <w:color w:val="auto"/>
          <w:sz w:val="30"/>
          <w:szCs w:val="30"/>
          <w:lang w:val="en-US" w:eastAsia="zh-CN"/>
        </w:rPr>
        <w:t>4</w:t>
      </w:r>
      <w:r>
        <w:rPr>
          <w:rFonts w:hint="eastAsia" w:ascii="仿宋" w:hAnsi="仿宋" w:eastAsia="仿宋"/>
          <w:color w:val="auto"/>
          <w:sz w:val="30"/>
          <w:szCs w:val="30"/>
        </w:rPr>
        <w:t>年</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月</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日应对消防设施设备进行一次年度检测，并取得当地主管部门认可的检测报告。</w:t>
      </w:r>
    </w:p>
    <w:p w14:paraId="261174B7">
      <w:pPr>
        <w:keepNext w:val="0"/>
        <w:keepLines w:val="0"/>
        <w:pageBreakBefore w:val="0"/>
        <w:tabs>
          <w:tab w:val="left" w:pos="1080"/>
        </w:tabs>
        <w:kinsoku/>
        <w:wordWrap/>
        <w:overflowPunct/>
        <w:topLinePunct w:val="0"/>
        <w:autoSpaceDE/>
        <w:autoSpaceDN/>
        <w:bidi w:val="0"/>
        <w:snapToGrid w:val="0"/>
        <w:spacing w:line="470" w:lineRule="exact"/>
        <w:ind w:firstLine="300" w:firstLineChars="100"/>
        <w:textAlignment w:val="auto"/>
        <w:rPr>
          <w:rFonts w:ascii="仿宋" w:hAnsi="仿宋" w:eastAsia="仿宋"/>
          <w:b/>
          <w:color w:val="auto"/>
          <w:sz w:val="30"/>
          <w:szCs w:val="30"/>
        </w:rPr>
      </w:pPr>
      <w:r>
        <w:rPr>
          <w:rFonts w:hint="eastAsia" w:ascii="仿宋" w:hAnsi="仿宋" w:eastAsia="仿宋"/>
          <w:color w:val="auto"/>
          <w:sz w:val="30"/>
          <w:szCs w:val="30"/>
        </w:rPr>
        <w:t>（二十一）乙方提交的维保记录中，涉及测试的应由打印凭条作为支持，否则视为无效，按</w:t>
      </w:r>
      <w:r>
        <w:rPr>
          <w:rFonts w:hint="eastAsia" w:ascii="仿宋" w:hAnsi="仿宋" w:eastAsia="仿宋"/>
          <w:color w:val="auto"/>
          <w:sz w:val="30"/>
          <w:szCs w:val="30"/>
          <w:u w:val="single"/>
        </w:rPr>
        <w:t xml:space="preserve"> 500元/次 </w:t>
      </w:r>
      <w:r>
        <w:rPr>
          <w:rFonts w:hint="eastAsia" w:ascii="仿宋" w:hAnsi="仿宋" w:eastAsia="仿宋"/>
          <w:color w:val="auto"/>
          <w:sz w:val="30"/>
          <w:szCs w:val="30"/>
        </w:rPr>
        <w:t>扣款。</w:t>
      </w:r>
    </w:p>
    <w:p w14:paraId="7D265AC1">
      <w:pPr>
        <w:keepNext w:val="0"/>
        <w:keepLines w:val="0"/>
        <w:pageBreakBefore w:val="0"/>
        <w:kinsoku/>
        <w:wordWrap/>
        <w:overflowPunct/>
        <w:topLinePunct w:val="0"/>
        <w:autoSpaceDE/>
        <w:autoSpaceDN/>
        <w:bidi w:val="0"/>
        <w:spacing w:line="470" w:lineRule="exact"/>
        <w:ind w:firstLine="300" w:firstLineChars="100"/>
        <w:textAlignment w:val="auto"/>
        <w:rPr>
          <w:rFonts w:ascii="仿宋" w:hAnsi="仿宋" w:eastAsia="仿宋"/>
          <w:color w:val="auto"/>
          <w:sz w:val="30"/>
          <w:szCs w:val="30"/>
        </w:rPr>
      </w:pPr>
      <w:r>
        <w:rPr>
          <w:rFonts w:hint="eastAsia" w:ascii="仿宋" w:hAnsi="仿宋" w:eastAsia="仿宋"/>
          <w:color w:val="auto"/>
          <w:sz w:val="30"/>
          <w:szCs w:val="30"/>
        </w:rPr>
        <w:t>（二十二）乙方在本合同履行期间及终止后，不得向甲方业主或任何第三方散布不利于甲方名誉的言论，一经甲方发现的，甲方有权单方解除本合同并有权要求乙方承担相应违约和赔偿责任。</w:t>
      </w:r>
    </w:p>
    <w:p w14:paraId="60AFA959">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第十条</w:t>
      </w:r>
      <w:r>
        <w:rPr>
          <w:rFonts w:ascii="仿宋" w:hAnsi="仿宋" w:eastAsia="仿宋"/>
          <w:b/>
          <w:color w:val="auto"/>
          <w:sz w:val="30"/>
          <w:szCs w:val="30"/>
        </w:rPr>
        <w:t xml:space="preserve"> </w:t>
      </w:r>
      <w:r>
        <w:rPr>
          <w:rFonts w:hint="eastAsia" w:ascii="仿宋" w:hAnsi="仿宋" w:eastAsia="仿宋"/>
          <w:b/>
          <w:color w:val="auto"/>
          <w:sz w:val="30"/>
          <w:szCs w:val="30"/>
        </w:rPr>
        <w:t>其它约定</w:t>
      </w:r>
    </w:p>
    <w:p w14:paraId="72E73A5C">
      <w:pPr>
        <w:keepNext w:val="0"/>
        <w:keepLines w:val="0"/>
        <w:pageBreakBefore w:val="0"/>
        <w:widowControl/>
        <w:kinsoku/>
        <w:wordWrap/>
        <w:overflowPunct/>
        <w:topLinePunct w:val="0"/>
        <w:autoSpaceDE/>
        <w:autoSpaceDN/>
        <w:bidi w:val="0"/>
        <w:snapToGrid w:val="0"/>
        <w:spacing w:line="47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甲乙双方均需遵守和执行国家、省、市有关建筑消防设施的法规和技术规范，定期共同向公安消防机构报告合同范围内消防设施的运行情况并接受其监督。</w:t>
      </w:r>
    </w:p>
    <w:p w14:paraId="09E2BE6E">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第十一条</w:t>
      </w:r>
      <w:r>
        <w:rPr>
          <w:rFonts w:ascii="仿宋" w:hAnsi="仿宋" w:eastAsia="仿宋"/>
          <w:b/>
          <w:color w:val="auto"/>
          <w:sz w:val="30"/>
          <w:szCs w:val="30"/>
        </w:rPr>
        <w:t xml:space="preserve"> </w:t>
      </w:r>
      <w:r>
        <w:rPr>
          <w:rFonts w:hint="eastAsia" w:ascii="仿宋" w:hAnsi="仿宋" w:eastAsia="仿宋"/>
          <w:b/>
          <w:color w:val="auto"/>
          <w:sz w:val="30"/>
          <w:szCs w:val="30"/>
        </w:rPr>
        <w:t>违约责任</w:t>
      </w:r>
    </w:p>
    <w:p w14:paraId="60D2B819">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w:t>
      </w:r>
      <w:r>
        <w:rPr>
          <w:rFonts w:ascii="仿宋" w:hAnsi="仿宋" w:eastAsia="仿宋"/>
          <w:color w:val="auto"/>
          <w:kern w:val="0"/>
          <w:sz w:val="30"/>
          <w:szCs w:val="30"/>
        </w:rPr>
        <w:t>除本合同另有约定外，</w:t>
      </w:r>
      <w:r>
        <w:rPr>
          <w:rFonts w:hint="eastAsia" w:ascii="仿宋" w:hAnsi="仿宋" w:eastAsia="仿宋"/>
          <w:color w:val="auto"/>
          <w:kern w:val="0"/>
          <w:sz w:val="30"/>
          <w:szCs w:val="30"/>
        </w:rPr>
        <w:t>乙</w:t>
      </w:r>
      <w:r>
        <w:rPr>
          <w:rFonts w:ascii="仿宋" w:hAnsi="仿宋" w:eastAsia="仿宋"/>
          <w:color w:val="auto"/>
          <w:kern w:val="0"/>
          <w:sz w:val="30"/>
          <w:szCs w:val="30"/>
        </w:rPr>
        <w:t>方不得无故终止合同，如有违约，则</w:t>
      </w:r>
      <w:r>
        <w:rPr>
          <w:rFonts w:hint="eastAsia" w:ascii="仿宋" w:hAnsi="仿宋" w:eastAsia="仿宋"/>
          <w:color w:val="auto"/>
          <w:kern w:val="0"/>
          <w:sz w:val="30"/>
          <w:szCs w:val="30"/>
        </w:rPr>
        <w:t>应</w:t>
      </w:r>
      <w:r>
        <w:rPr>
          <w:rFonts w:ascii="仿宋" w:hAnsi="仿宋" w:eastAsia="仿宋"/>
          <w:color w:val="auto"/>
          <w:kern w:val="0"/>
          <w:sz w:val="30"/>
          <w:szCs w:val="30"/>
        </w:rPr>
        <w:t>按合同总</w:t>
      </w:r>
      <w:r>
        <w:rPr>
          <w:rFonts w:hint="eastAsia" w:ascii="仿宋" w:hAnsi="仿宋" w:eastAsia="仿宋"/>
          <w:color w:val="auto"/>
          <w:kern w:val="0"/>
          <w:sz w:val="30"/>
          <w:szCs w:val="30"/>
        </w:rPr>
        <w:t>价</w:t>
      </w:r>
      <w:r>
        <w:rPr>
          <w:rFonts w:ascii="仿宋" w:hAnsi="仿宋" w:eastAsia="仿宋"/>
          <w:color w:val="auto"/>
          <w:kern w:val="0"/>
          <w:sz w:val="30"/>
          <w:szCs w:val="30"/>
        </w:rPr>
        <w:t>的</w:t>
      </w:r>
      <w:r>
        <w:rPr>
          <w:rFonts w:ascii="仿宋" w:hAnsi="仿宋" w:eastAsia="仿宋"/>
          <w:color w:val="auto"/>
          <w:kern w:val="0"/>
          <w:sz w:val="30"/>
          <w:szCs w:val="30"/>
          <w:u w:val="single"/>
        </w:rPr>
        <w:t xml:space="preserve"> </w:t>
      </w:r>
      <w:r>
        <w:rPr>
          <w:rFonts w:hint="eastAsia" w:ascii="仿宋" w:hAnsi="仿宋" w:eastAsia="仿宋"/>
          <w:color w:val="auto"/>
          <w:kern w:val="0"/>
          <w:sz w:val="30"/>
          <w:szCs w:val="30"/>
          <w:u w:val="single"/>
        </w:rPr>
        <w:t>1</w:t>
      </w:r>
      <w:r>
        <w:rPr>
          <w:rFonts w:ascii="仿宋" w:hAnsi="仿宋" w:eastAsia="仿宋"/>
          <w:color w:val="auto"/>
          <w:kern w:val="0"/>
          <w:sz w:val="30"/>
          <w:szCs w:val="30"/>
          <w:u w:val="single"/>
        </w:rPr>
        <w:t xml:space="preserve">0% </w:t>
      </w:r>
      <w:r>
        <w:rPr>
          <w:rFonts w:ascii="仿宋" w:hAnsi="仿宋" w:eastAsia="仿宋"/>
          <w:color w:val="auto"/>
          <w:kern w:val="0"/>
          <w:sz w:val="30"/>
          <w:szCs w:val="30"/>
        </w:rPr>
        <w:t>向</w:t>
      </w:r>
      <w:r>
        <w:rPr>
          <w:rFonts w:hint="eastAsia" w:ascii="仿宋" w:hAnsi="仿宋" w:eastAsia="仿宋"/>
          <w:color w:val="auto"/>
          <w:kern w:val="0"/>
          <w:sz w:val="30"/>
          <w:szCs w:val="30"/>
        </w:rPr>
        <w:t>甲</w:t>
      </w:r>
      <w:r>
        <w:rPr>
          <w:rFonts w:ascii="仿宋" w:hAnsi="仿宋" w:eastAsia="仿宋"/>
          <w:color w:val="auto"/>
          <w:kern w:val="0"/>
          <w:sz w:val="30"/>
          <w:szCs w:val="30"/>
        </w:rPr>
        <w:t>方支付违约金，造成损失的另行赔付。</w:t>
      </w:r>
    </w:p>
    <w:p w14:paraId="2E7B2C35">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（二）</w:t>
      </w:r>
      <w:r>
        <w:rPr>
          <w:rFonts w:ascii="仿宋" w:hAnsi="仿宋" w:eastAsia="仿宋"/>
          <w:color w:val="auto"/>
          <w:sz w:val="30"/>
          <w:szCs w:val="30"/>
        </w:rPr>
        <w:t>在甲方书面或电话故障报修后，如乙方未在</w:t>
      </w:r>
      <w:r>
        <w:rPr>
          <w:rFonts w:hint="eastAsia" w:ascii="仿宋" w:hAnsi="仿宋" w:eastAsia="仿宋"/>
          <w:color w:val="auto"/>
          <w:sz w:val="30"/>
          <w:szCs w:val="30"/>
        </w:rPr>
        <w:t>本合同</w:t>
      </w:r>
      <w:r>
        <w:rPr>
          <w:rFonts w:ascii="仿宋" w:hAnsi="仿宋" w:eastAsia="仿宋"/>
          <w:color w:val="auto"/>
          <w:sz w:val="30"/>
          <w:szCs w:val="30"/>
        </w:rPr>
        <w:t>约定时间内到达现场维修的，按</w:t>
      </w:r>
      <w:r>
        <w:rPr>
          <w:rFonts w:hint="eastAsia" w:ascii="仿宋" w:hAnsi="仿宋" w:eastAsia="仿宋"/>
          <w:color w:val="auto"/>
          <w:sz w:val="30"/>
          <w:szCs w:val="30"/>
          <w:u w:val="single"/>
        </w:rPr>
        <w:t xml:space="preserve"> 100 </w:t>
      </w:r>
      <w:r>
        <w:rPr>
          <w:rFonts w:ascii="仿宋" w:hAnsi="仿宋" w:eastAsia="仿宋"/>
          <w:color w:val="auto"/>
          <w:sz w:val="30"/>
          <w:szCs w:val="30"/>
        </w:rPr>
        <w:t>元/次向甲方支付违约金，并赔偿因此造成的一切损失及承担全部责任。</w:t>
      </w:r>
    </w:p>
    <w:p w14:paraId="53791208">
      <w:pPr>
        <w:keepNext w:val="0"/>
        <w:keepLines w:val="0"/>
        <w:pageBreakBefore w:val="0"/>
        <w:tabs>
          <w:tab w:val="left" w:pos="1080"/>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（三）</w:t>
      </w:r>
      <w:r>
        <w:rPr>
          <w:rFonts w:ascii="仿宋" w:hAnsi="仿宋" w:eastAsia="仿宋"/>
          <w:color w:val="auto"/>
          <w:sz w:val="30"/>
          <w:szCs w:val="30"/>
        </w:rPr>
        <w:t>乙方未按国家、省、市标准</w:t>
      </w:r>
      <w:r>
        <w:rPr>
          <w:rFonts w:hint="eastAsia" w:ascii="仿宋" w:hAnsi="仿宋" w:eastAsia="仿宋"/>
          <w:color w:val="auto"/>
          <w:sz w:val="30"/>
          <w:szCs w:val="30"/>
        </w:rPr>
        <w:t>（存在多种标准时，以维保标准高者为准）</w:t>
      </w:r>
      <w:r>
        <w:rPr>
          <w:rFonts w:ascii="仿宋" w:hAnsi="仿宋" w:eastAsia="仿宋"/>
          <w:color w:val="auto"/>
          <w:sz w:val="30"/>
          <w:szCs w:val="30"/>
        </w:rPr>
        <w:t>及本合同约定的维护频次、时间、维护标准执行的，均视为违约。甲方可视违约情况对乙方提出警告、限期整改或者乙方按</w:t>
      </w:r>
      <w:r>
        <w:rPr>
          <w:rFonts w:hint="eastAsia" w:ascii="仿宋" w:hAnsi="仿宋" w:eastAsia="仿宋"/>
          <w:color w:val="auto"/>
          <w:sz w:val="30"/>
          <w:szCs w:val="30"/>
          <w:u w:val="single"/>
        </w:rPr>
        <w:t xml:space="preserve"> 300 </w:t>
      </w:r>
      <w:r>
        <w:rPr>
          <w:rFonts w:ascii="仿宋" w:hAnsi="仿宋" w:eastAsia="仿宋"/>
          <w:color w:val="auto"/>
          <w:sz w:val="30"/>
          <w:szCs w:val="30"/>
        </w:rPr>
        <w:t>元至合同总价</w:t>
      </w:r>
      <w:r>
        <w:rPr>
          <w:rFonts w:ascii="仿宋" w:hAnsi="仿宋" w:eastAsia="仿宋"/>
          <w:color w:val="auto"/>
          <w:sz w:val="30"/>
          <w:szCs w:val="30"/>
          <w:u w:val="single"/>
        </w:rPr>
        <w:t xml:space="preserve"> </w:t>
      </w:r>
      <w:r>
        <w:rPr>
          <w:rFonts w:hint="eastAsia" w:ascii="仿宋" w:hAnsi="仿宋" w:eastAsia="仿宋"/>
          <w:color w:val="auto"/>
          <w:sz w:val="30"/>
          <w:szCs w:val="30"/>
          <w:u w:val="single"/>
        </w:rPr>
        <w:t>1</w:t>
      </w:r>
      <w:r>
        <w:rPr>
          <w:rFonts w:ascii="仿宋" w:hAnsi="仿宋" w:eastAsia="仿宋"/>
          <w:color w:val="auto"/>
          <w:sz w:val="30"/>
          <w:szCs w:val="30"/>
          <w:u w:val="single"/>
        </w:rPr>
        <w:t>0%/</w:t>
      </w:r>
      <w:r>
        <w:rPr>
          <w:rFonts w:hint="eastAsia" w:ascii="仿宋" w:hAnsi="仿宋" w:eastAsia="仿宋"/>
          <w:color w:val="auto"/>
          <w:sz w:val="30"/>
          <w:szCs w:val="30"/>
          <w:u w:val="single"/>
        </w:rPr>
        <w:t xml:space="preserve">次 </w:t>
      </w:r>
      <w:r>
        <w:rPr>
          <w:rFonts w:ascii="仿宋" w:hAnsi="仿宋" w:eastAsia="仿宋"/>
          <w:color w:val="auto"/>
          <w:sz w:val="30"/>
          <w:szCs w:val="30"/>
        </w:rPr>
        <w:t>向甲方支付违约金，如因此发生消防安全事故的，由乙方承担赔偿责任，并按合同总价</w:t>
      </w:r>
      <w:r>
        <w:rPr>
          <w:rFonts w:ascii="仿宋" w:hAnsi="仿宋" w:eastAsia="仿宋"/>
          <w:color w:val="auto"/>
          <w:sz w:val="30"/>
          <w:szCs w:val="30"/>
          <w:u w:val="single"/>
        </w:rPr>
        <w:t xml:space="preserve"> </w:t>
      </w:r>
      <w:r>
        <w:rPr>
          <w:rFonts w:hint="eastAsia" w:ascii="仿宋" w:hAnsi="仿宋" w:eastAsia="仿宋"/>
          <w:color w:val="auto"/>
          <w:sz w:val="30"/>
          <w:szCs w:val="30"/>
          <w:u w:val="single"/>
        </w:rPr>
        <w:t>1</w:t>
      </w:r>
      <w:r>
        <w:rPr>
          <w:rFonts w:ascii="仿宋" w:hAnsi="仿宋" w:eastAsia="仿宋"/>
          <w:color w:val="auto"/>
          <w:sz w:val="30"/>
          <w:szCs w:val="30"/>
          <w:u w:val="single"/>
        </w:rPr>
        <w:t>0%</w:t>
      </w:r>
      <w:r>
        <w:rPr>
          <w:rFonts w:hint="eastAsia" w:ascii="仿宋" w:hAnsi="仿宋" w:eastAsia="仿宋"/>
          <w:color w:val="auto"/>
          <w:sz w:val="30"/>
          <w:szCs w:val="30"/>
          <w:u w:val="single"/>
        </w:rPr>
        <w:t xml:space="preserve"> </w:t>
      </w:r>
      <w:r>
        <w:rPr>
          <w:rFonts w:ascii="仿宋" w:hAnsi="仿宋" w:eastAsia="仿宋"/>
          <w:color w:val="auto"/>
          <w:sz w:val="30"/>
          <w:szCs w:val="30"/>
        </w:rPr>
        <w:t>的标准向甲方支付违约金，甲方可单方解除本合同。</w:t>
      </w:r>
    </w:p>
    <w:p w14:paraId="340F1D03">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（四）</w:t>
      </w:r>
      <w:r>
        <w:rPr>
          <w:rFonts w:ascii="仿宋" w:hAnsi="仿宋" w:eastAsia="仿宋"/>
          <w:color w:val="auto"/>
          <w:sz w:val="30"/>
          <w:szCs w:val="30"/>
        </w:rPr>
        <w:t>乙方维保工作符合标准和要求的前提下，甲方须按时支付维保费用，否则乙方可向甲方发出书面催款通知，要求限期在十个工作日内支付；若甲方在该限期内仍拒绝付款，乙方有权按当次应付费用的</w:t>
      </w:r>
      <w:r>
        <w:rPr>
          <w:rFonts w:hint="eastAsia" w:ascii="仿宋" w:hAnsi="仿宋" w:eastAsia="仿宋"/>
          <w:color w:val="auto"/>
          <w:sz w:val="30"/>
          <w:szCs w:val="30"/>
          <w:u w:val="single"/>
        </w:rPr>
        <w:t>万分之一</w:t>
      </w:r>
      <w:r>
        <w:rPr>
          <w:rFonts w:ascii="仿宋" w:hAnsi="仿宋" w:eastAsia="仿宋"/>
          <w:color w:val="auto"/>
          <w:sz w:val="30"/>
          <w:szCs w:val="30"/>
        </w:rPr>
        <w:t>要求甲方支付违约金。</w:t>
      </w:r>
    </w:p>
    <w:p w14:paraId="1A6F9908">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（五）在消防主管部门检查时，如乙方维保原因出现消防系统存在故障或安全隐患导致相关整改费用、罚款的或检查不合格的，乙方除承担前述费用及罚款外，并按合同总价</w:t>
      </w:r>
      <w:r>
        <w:rPr>
          <w:rFonts w:ascii="仿宋" w:hAnsi="仿宋" w:eastAsia="仿宋"/>
          <w:color w:val="auto"/>
          <w:kern w:val="0"/>
          <w:sz w:val="30"/>
          <w:szCs w:val="30"/>
          <w:u w:val="single"/>
        </w:rPr>
        <w:t xml:space="preserve"> </w:t>
      </w:r>
      <w:r>
        <w:rPr>
          <w:rFonts w:hint="eastAsia" w:ascii="仿宋" w:hAnsi="仿宋" w:eastAsia="仿宋"/>
          <w:color w:val="auto"/>
          <w:kern w:val="0"/>
          <w:sz w:val="30"/>
          <w:szCs w:val="30"/>
          <w:u w:val="single"/>
        </w:rPr>
        <w:t xml:space="preserve">10% </w:t>
      </w:r>
      <w:r>
        <w:rPr>
          <w:rFonts w:hint="eastAsia" w:ascii="仿宋" w:hAnsi="仿宋" w:eastAsia="仿宋"/>
          <w:color w:val="auto"/>
          <w:kern w:val="0"/>
          <w:sz w:val="30"/>
          <w:szCs w:val="30"/>
        </w:rPr>
        <w:t>的标准向甲方支付违约金，甲方可单方解除本合同。</w:t>
      </w:r>
    </w:p>
    <w:p w14:paraId="407B51EE">
      <w:pPr>
        <w:keepNext w:val="0"/>
        <w:keepLines w:val="0"/>
        <w:pageBreakBefore w:val="0"/>
        <w:tabs>
          <w:tab w:val="left" w:pos="993"/>
        </w:tabs>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（六）</w:t>
      </w:r>
      <w:r>
        <w:rPr>
          <w:rFonts w:ascii="仿宋" w:hAnsi="仿宋" w:eastAsia="仿宋"/>
          <w:color w:val="auto"/>
          <w:sz w:val="30"/>
          <w:szCs w:val="30"/>
        </w:rPr>
        <w:t>若因乙方原因导致本合同无效或提前终止</w:t>
      </w:r>
      <w:r>
        <w:rPr>
          <w:rFonts w:hint="eastAsia" w:ascii="仿宋" w:hAnsi="仿宋" w:eastAsia="仿宋"/>
          <w:color w:val="auto"/>
          <w:sz w:val="30"/>
          <w:szCs w:val="30"/>
        </w:rPr>
        <w:t>的</w:t>
      </w:r>
      <w:r>
        <w:rPr>
          <w:rFonts w:ascii="仿宋" w:hAnsi="仿宋" w:eastAsia="仿宋"/>
          <w:color w:val="auto"/>
          <w:sz w:val="30"/>
          <w:szCs w:val="30"/>
        </w:rPr>
        <w:t>，乙方除按照相关约定承担违约责任外，乙方须承担合同总价款</w:t>
      </w:r>
      <w:r>
        <w:rPr>
          <w:rFonts w:ascii="仿宋" w:hAnsi="仿宋" w:eastAsia="仿宋"/>
          <w:color w:val="auto"/>
          <w:sz w:val="30"/>
          <w:szCs w:val="30"/>
          <w:u w:val="single"/>
        </w:rPr>
        <w:t xml:space="preserve"> </w:t>
      </w:r>
      <w:r>
        <w:rPr>
          <w:rFonts w:hint="eastAsia" w:ascii="仿宋" w:hAnsi="仿宋" w:eastAsia="仿宋"/>
          <w:color w:val="auto"/>
          <w:sz w:val="30"/>
          <w:szCs w:val="30"/>
          <w:u w:val="single"/>
        </w:rPr>
        <w:t>1</w:t>
      </w:r>
      <w:r>
        <w:rPr>
          <w:rFonts w:ascii="仿宋" w:hAnsi="仿宋" w:eastAsia="仿宋"/>
          <w:color w:val="auto"/>
          <w:sz w:val="30"/>
          <w:szCs w:val="30"/>
          <w:u w:val="single"/>
        </w:rPr>
        <w:t xml:space="preserve">0% </w:t>
      </w:r>
      <w:r>
        <w:rPr>
          <w:rFonts w:ascii="仿宋" w:hAnsi="仿宋" w:eastAsia="仿宋"/>
          <w:color w:val="auto"/>
          <w:sz w:val="30"/>
          <w:szCs w:val="30"/>
        </w:rPr>
        <w:t>的违约金，对因此给甲方造成的损失，乙方仍应承担赔偿责任。</w:t>
      </w:r>
    </w:p>
    <w:p w14:paraId="663FD48E">
      <w:pPr>
        <w:keepNext w:val="0"/>
        <w:keepLines w:val="0"/>
        <w:pageBreakBefore w:val="0"/>
        <w:widowControl/>
        <w:kinsoku/>
        <w:wordWrap/>
        <w:overflowPunct/>
        <w:topLinePunct w:val="0"/>
        <w:autoSpaceDE/>
        <w:autoSpaceDN/>
        <w:bidi w:val="0"/>
        <w:snapToGrid w:val="0"/>
        <w:spacing w:line="47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（七）</w:t>
      </w:r>
      <w:r>
        <w:rPr>
          <w:rFonts w:ascii="仿宋" w:hAnsi="仿宋" w:eastAsia="仿宋"/>
          <w:color w:val="auto"/>
          <w:kern w:val="0"/>
          <w:sz w:val="30"/>
          <w:szCs w:val="30"/>
        </w:rPr>
        <w:t>其他违约责任详见本合同</w:t>
      </w:r>
      <w:r>
        <w:rPr>
          <w:rFonts w:hint="eastAsia" w:ascii="仿宋" w:hAnsi="仿宋" w:eastAsia="仿宋"/>
          <w:color w:val="auto"/>
          <w:kern w:val="0"/>
          <w:sz w:val="30"/>
          <w:szCs w:val="30"/>
        </w:rPr>
        <w:t>附件三，未造成人身、财产损失的，按照附件三扣罚；造成人身、财产损失的，除扣罚之外，按照法律规定及本合同约定，由乙方承担责任。</w:t>
      </w:r>
    </w:p>
    <w:p w14:paraId="649C8664">
      <w:pPr>
        <w:keepNext w:val="0"/>
        <w:keepLines w:val="0"/>
        <w:pageBreakBefore w:val="0"/>
        <w:widowControl/>
        <w:kinsoku/>
        <w:wordWrap/>
        <w:overflowPunct/>
        <w:topLinePunct w:val="0"/>
        <w:autoSpaceDE/>
        <w:autoSpaceDN/>
        <w:bidi w:val="0"/>
        <w:snapToGrid w:val="0"/>
        <w:spacing w:line="470" w:lineRule="exact"/>
        <w:ind w:firstLine="600" w:firstLineChars="20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（八）乙方</w:t>
      </w:r>
      <w:r>
        <w:rPr>
          <w:rFonts w:ascii="仿宋" w:hAnsi="仿宋" w:eastAsia="仿宋"/>
          <w:color w:val="auto"/>
          <w:kern w:val="0"/>
          <w:sz w:val="30"/>
          <w:szCs w:val="30"/>
        </w:rPr>
        <w:t>违反本</w:t>
      </w:r>
      <w:r>
        <w:rPr>
          <w:rFonts w:hint="eastAsia" w:ascii="仿宋" w:hAnsi="仿宋" w:eastAsia="仿宋"/>
          <w:color w:val="auto"/>
          <w:kern w:val="0"/>
          <w:sz w:val="30"/>
          <w:szCs w:val="30"/>
        </w:rPr>
        <w:t>合同</w:t>
      </w:r>
      <w:r>
        <w:rPr>
          <w:rFonts w:ascii="仿宋" w:hAnsi="仿宋" w:eastAsia="仿宋"/>
          <w:color w:val="auto"/>
          <w:kern w:val="0"/>
          <w:sz w:val="30"/>
          <w:szCs w:val="30"/>
        </w:rPr>
        <w:t>的任何条款而</w:t>
      </w:r>
      <w:r>
        <w:rPr>
          <w:rFonts w:hint="eastAsia" w:ascii="仿宋" w:hAnsi="仿宋" w:eastAsia="仿宋"/>
          <w:color w:val="auto"/>
          <w:kern w:val="0"/>
          <w:sz w:val="30"/>
          <w:szCs w:val="30"/>
        </w:rPr>
        <w:t>致</w:t>
      </w:r>
      <w:r>
        <w:rPr>
          <w:rFonts w:ascii="仿宋" w:hAnsi="仿宋" w:eastAsia="仿宋"/>
          <w:color w:val="auto"/>
          <w:kern w:val="0"/>
          <w:sz w:val="30"/>
          <w:szCs w:val="30"/>
        </w:rPr>
        <w:t>使</w:t>
      </w:r>
      <w:r>
        <w:rPr>
          <w:rFonts w:hint="eastAsia" w:ascii="仿宋" w:hAnsi="仿宋" w:eastAsia="仿宋"/>
          <w:color w:val="auto"/>
          <w:kern w:val="0"/>
          <w:sz w:val="30"/>
          <w:szCs w:val="30"/>
        </w:rPr>
        <w:t>甲方</w:t>
      </w:r>
      <w:r>
        <w:rPr>
          <w:rFonts w:ascii="仿宋" w:hAnsi="仿宋" w:eastAsia="仿宋"/>
          <w:color w:val="auto"/>
          <w:kern w:val="0"/>
          <w:sz w:val="30"/>
          <w:szCs w:val="30"/>
        </w:rPr>
        <w:t>产生或遭受的任何及所有权利请求、诉讼、损害、损失和费用</w:t>
      </w:r>
      <w:r>
        <w:rPr>
          <w:rFonts w:hint="eastAsia" w:ascii="仿宋" w:hAnsi="仿宋" w:eastAsia="仿宋"/>
          <w:color w:val="auto"/>
          <w:kern w:val="0"/>
          <w:sz w:val="30"/>
          <w:szCs w:val="30"/>
        </w:rPr>
        <w:t>（</w:t>
      </w:r>
      <w:r>
        <w:rPr>
          <w:rFonts w:ascii="仿宋" w:hAnsi="仿宋" w:eastAsia="仿宋"/>
          <w:color w:val="auto"/>
          <w:kern w:val="0"/>
          <w:sz w:val="30"/>
          <w:szCs w:val="30"/>
        </w:rPr>
        <w:t>包括但不限于法律费用和支出</w:t>
      </w:r>
      <w:r>
        <w:rPr>
          <w:rFonts w:hint="eastAsia" w:ascii="仿宋" w:hAnsi="仿宋" w:eastAsia="仿宋"/>
          <w:color w:val="auto"/>
          <w:kern w:val="0"/>
          <w:sz w:val="30"/>
          <w:szCs w:val="30"/>
        </w:rPr>
        <w:t>，如律师费、保全费、诉讼财产保全担保怎保险费、公证费、鉴定费、差旅费等，</w:t>
      </w:r>
      <w:r>
        <w:rPr>
          <w:rFonts w:ascii="仿宋" w:hAnsi="仿宋" w:eastAsia="仿宋"/>
          <w:color w:val="auto"/>
          <w:kern w:val="0"/>
          <w:sz w:val="30"/>
          <w:szCs w:val="30"/>
        </w:rPr>
        <w:t>以及对任何权利请求进行调查的费用</w:t>
      </w:r>
      <w:r>
        <w:rPr>
          <w:rFonts w:hint="eastAsia" w:ascii="仿宋" w:hAnsi="仿宋" w:eastAsia="仿宋"/>
          <w:color w:val="auto"/>
          <w:kern w:val="0"/>
          <w:sz w:val="30"/>
          <w:szCs w:val="30"/>
        </w:rPr>
        <w:t>）</w:t>
      </w:r>
      <w:r>
        <w:rPr>
          <w:rFonts w:ascii="仿宋" w:hAnsi="仿宋" w:eastAsia="仿宋"/>
          <w:color w:val="auto"/>
          <w:kern w:val="0"/>
          <w:sz w:val="30"/>
          <w:szCs w:val="30"/>
        </w:rPr>
        <w:t>，</w:t>
      </w:r>
      <w:r>
        <w:rPr>
          <w:rFonts w:hint="eastAsia" w:ascii="仿宋" w:hAnsi="仿宋" w:eastAsia="仿宋"/>
          <w:color w:val="auto"/>
          <w:kern w:val="0"/>
          <w:sz w:val="30"/>
          <w:szCs w:val="30"/>
        </w:rPr>
        <w:t>乙</w:t>
      </w:r>
      <w:r>
        <w:rPr>
          <w:rFonts w:ascii="仿宋" w:hAnsi="仿宋" w:eastAsia="仿宋"/>
          <w:color w:val="auto"/>
          <w:kern w:val="0"/>
          <w:sz w:val="30"/>
          <w:szCs w:val="30"/>
        </w:rPr>
        <w:t>方同意对</w:t>
      </w:r>
      <w:r>
        <w:rPr>
          <w:rFonts w:hint="eastAsia" w:ascii="仿宋" w:hAnsi="仿宋" w:eastAsia="仿宋"/>
          <w:color w:val="auto"/>
          <w:kern w:val="0"/>
          <w:sz w:val="30"/>
          <w:szCs w:val="30"/>
        </w:rPr>
        <w:t>甲</w:t>
      </w:r>
      <w:r>
        <w:rPr>
          <w:rFonts w:ascii="仿宋" w:hAnsi="仿宋" w:eastAsia="仿宋"/>
          <w:color w:val="auto"/>
          <w:kern w:val="0"/>
          <w:sz w:val="30"/>
          <w:szCs w:val="30"/>
        </w:rPr>
        <w:t>方进行</w:t>
      </w:r>
      <w:r>
        <w:rPr>
          <w:rFonts w:hint="eastAsia" w:ascii="仿宋" w:hAnsi="仿宋" w:eastAsia="仿宋"/>
          <w:color w:val="auto"/>
          <w:kern w:val="0"/>
          <w:sz w:val="30"/>
          <w:szCs w:val="30"/>
        </w:rPr>
        <w:t>充分</w:t>
      </w:r>
      <w:r>
        <w:rPr>
          <w:rFonts w:ascii="仿宋" w:hAnsi="仿宋" w:eastAsia="仿宋"/>
          <w:color w:val="auto"/>
          <w:kern w:val="0"/>
          <w:sz w:val="30"/>
          <w:szCs w:val="30"/>
        </w:rPr>
        <w:t>补偿。该补偿并不影响</w:t>
      </w:r>
      <w:r>
        <w:rPr>
          <w:rFonts w:hint="eastAsia" w:ascii="仿宋" w:hAnsi="仿宋" w:eastAsia="仿宋"/>
          <w:color w:val="auto"/>
          <w:kern w:val="0"/>
          <w:sz w:val="30"/>
          <w:szCs w:val="30"/>
        </w:rPr>
        <w:t>甲</w:t>
      </w:r>
      <w:r>
        <w:rPr>
          <w:rFonts w:ascii="仿宋" w:hAnsi="仿宋" w:eastAsia="仿宋"/>
          <w:color w:val="auto"/>
          <w:kern w:val="0"/>
          <w:sz w:val="30"/>
          <w:szCs w:val="30"/>
        </w:rPr>
        <w:t>方就</w:t>
      </w:r>
      <w:r>
        <w:rPr>
          <w:rFonts w:hint="eastAsia" w:ascii="仿宋" w:hAnsi="仿宋" w:eastAsia="仿宋"/>
          <w:color w:val="auto"/>
          <w:kern w:val="0"/>
          <w:sz w:val="30"/>
          <w:szCs w:val="30"/>
        </w:rPr>
        <w:t>乙</w:t>
      </w:r>
      <w:r>
        <w:rPr>
          <w:rFonts w:ascii="仿宋" w:hAnsi="仿宋" w:eastAsia="仿宋"/>
          <w:color w:val="auto"/>
          <w:kern w:val="0"/>
          <w:sz w:val="30"/>
          <w:szCs w:val="30"/>
        </w:rPr>
        <w:t>方对本</w:t>
      </w:r>
      <w:r>
        <w:rPr>
          <w:rFonts w:hint="eastAsia" w:ascii="仿宋" w:hAnsi="仿宋" w:eastAsia="仿宋"/>
          <w:color w:val="auto"/>
          <w:kern w:val="0"/>
          <w:sz w:val="30"/>
          <w:szCs w:val="30"/>
        </w:rPr>
        <w:t>合同</w:t>
      </w:r>
      <w:r>
        <w:rPr>
          <w:rFonts w:ascii="仿宋" w:hAnsi="仿宋" w:eastAsia="仿宋"/>
          <w:color w:val="auto"/>
          <w:kern w:val="0"/>
          <w:sz w:val="30"/>
          <w:szCs w:val="30"/>
        </w:rPr>
        <w:t>任何条款</w:t>
      </w:r>
      <w:r>
        <w:rPr>
          <w:rFonts w:hint="eastAsia" w:ascii="仿宋" w:hAnsi="仿宋" w:eastAsia="仿宋"/>
          <w:color w:val="auto"/>
          <w:kern w:val="0"/>
          <w:sz w:val="30"/>
          <w:szCs w:val="30"/>
        </w:rPr>
        <w:t>或条件</w:t>
      </w:r>
      <w:r>
        <w:rPr>
          <w:rFonts w:ascii="仿宋" w:hAnsi="仿宋" w:eastAsia="仿宋"/>
          <w:color w:val="auto"/>
          <w:kern w:val="0"/>
          <w:sz w:val="30"/>
          <w:szCs w:val="30"/>
        </w:rPr>
        <w:t>的违反</w:t>
      </w:r>
      <w:r>
        <w:rPr>
          <w:rFonts w:hint="eastAsia" w:ascii="仿宋" w:hAnsi="仿宋" w:eastAsia="仿宋"/>
          <w:color w:val="auto"/>
          <w:kern w:val="0"/>
          <w:sz w:val="30"/>
          <w:szCs w:val="30"/>
        </w:rPr>
        <w:t>而</w:t>
      </w:r>
      <w:r>
        <w:rPr>
          <w:rFonts w:ascii="仿宋" w:hAnsi="仿宋" w:eastAsia="仿宋"/>
          <w:color w:val="auto"/>
          <w:kern w:val="0"/>
          <w:sz w:val="30"/>
          <w:szCs w:val="30"/>
        </w:rPr>
        <w:t>享有的其他权利和救济。</w:t>
      </w:r>
    </w:p>
    <w:p w14:paraId="171DE1CD">
      <w:pPr>
        <w:keepNext w:val="0"/>
        <w:keepLines w:val="0"/>
        <w:pageBreakBefore w:val="0"/>
        <w:tabs>
          <w:tab w:val="left" w:pos="0"/>
          <w:tab w:val="left" w:pos="851"/>
          <w:tab w:val="left" w:pos="993"/>
        </w:tabs>
        <w:kinsoku/>
        <w:wordWrap/>
        <w:overflowPunct/>
        <w:topLinePunct w:val="0"/>
        <w:autoSpaceDE/>
        <w:autoSpaceDN/>
        <w:bidi w:val="0"/>
        <w:spacing w:line="470" w:lineRule="exact"/>
        <w:ind w:firstLine="600" w:firstLineChars="200"/>
        <w:textAlignment w:val="auto"/>
        <w:outlineLvl w:val="1"/>
        <w:rPr>
          <w:rFonts w:ascii="仿宋" w:hAnsi="仿宋" w:eastAsia="仿宋"/>
          <w:color w:val="auto"/>
          <w:sz w:val="30"/>
          <w:szCs w:val="30"/>
        </w:rPr>
      </w:pPr>
      <w:r>
        <w:rPr>
          <w:rFonts w:hint="eastAsia" w:ascii="仿宋" w:hAnsi="仿宋" w:eastAsia="仿宋"/>
          <w:color w:val="auto"/>
          <w:sz w:val="30"/>
          <w:szCs w:val="30"/>
        </w:rPr>
        <w:t>甲方</w:t>
      </w:r>
      <w:r>
        <w:rPr>
          <w:rFonts w:ascii="仿宋" w:hAnsi="仿宋" w:eastAsia="仿宋"/>
          <w:color w:val="auto"/>
          <w:sz w:val="30"/>
          <w:szCs w:val="30"/>
        </w:rPr>
        <w:t>就</w:t>
      </w:r>
      <w:r>
        <w:rPr>
          <w:rFonts w:hint="eastAsia" w:ascii="仿宋" w:hAnsi="仿宋" w:eastAsia="仿宋"/>
          <w:color w:val="auto"/>
          <w:sz w:val="30"/>
          <w:szCs w:val="30"/>
        </w:rPr>
        <w:t>乙</w:t>
      </w:r>
      <w:r>
        <w:rPr>
          <w:rFonts w:ascii="仿宋" w:hAnsi="仿宋" w:eastAsia="仿宋"/>
          <w:color w:val="auto"/>
          <w:sz w:val="30"/>
          <w:szCs w:val="30"/>
        </w:rPr>
        <w:t>方违反本</w:t>
      </w:r>
      <w:r>
        <w:rPr>
          <w:rFonts w:hint="eastAsia" w:ascii="仿宋" w:hAnsi="仿宋" w:eastAsia="仿宋"/>
          <w:color w:val="auto"/>
          <w:sz w:val="30"/>
          <w:szCs w:val="30"/>
        </w:rPr>
        <w:t>合同</w:t>
      </w:r>
      <w:r>
        <w:rPr>
          <w:rFonts w:ascii="仿宋" w:hAnsi="仿宋" w:eastAsia="仿宋"/>
          <w:color w:val="auto"/>
          <w:sz w:val="30"/>
          <w:szCs w:val="30"/>
        </w:rPr>
        <w:t>任何条款</w:t>
      </w:r>
      <w:r>
        <w:rPr>
          <w:rFonts w:hint="eastAsia" w:ascii="仿宋" w:hAnsi="仿宋" w:eastAsia="仿宋"/>
          <w:color w:val="auto"/>
          <w:sz w:val="30"/>
          <w:szCs w:val="30"/>
        </w:rPr>
        <w:t>或条件</w:t>
      </w:r>
      <w:r>
        <w:rPr>
          <w:rFonts w:ascii="仿宋" w:hAnsi="仿宋" w:eastAsia="仿宋"/>
          <w:color w:val="auto"/>
          <w:sz w:val="30"/>
          <w:szCs w:val="30"/>
        </w:rPr>
        <w:t>而享有的权利和救济应在本</w:t>
      </w:r>
      <w:r>
        <w:rPr>
          <w:rFonts w:hint="eastAsia" w:ascii="仿宋" w:hAnsi="仿宋" w:eastAsia="仿宋"/>
          <w:color w:val="auto"/>
          <w:sz w:val="30"/>
          <w:szCs w:val="30"/>
        </w:rPr>
        <w:t>合同无效</w:t>
      </w:r>
      <w:r>
        <w:rPr>
          <w:rFonts w:ascii="仿宋" w:hAnsi="仿宋" w:eastAsia="仿宋"/>
          <w:color w:val="auto"/>
          <w:sz w:val="30"/>
          <w:szCs w:val="30"/>
        </w:rPr>
        <w:t>、</w:t>
      </w:r>
      <w:r>
        <w:rPr>
          <w:rFonts w:hint="eastAsia" w:ascii="仿宋" w:hAnsi="仿宋" w:eastAsia="仿宋"/>
          <w:color w:val="auto"/>
          <w:sz w:val="30"/>
          <w:szCs w:val="30"/>
        </w:rPr>
        <w:t>解除</w:t>
      </w:r>
      <w:r>
        <w:rPr>
          <w:rFonts w:ascii="仿宋" w:hAnsi="仿宋" w:eastAsia="仿宋"/>
          <w:color w:val="auto"/>
          <w:sz w:val="30"/>
          <w:szCs w:val="30"/>
        </w:rPr>
        <w:t>或</w:t>
      </w:r>
      <w:r>
        <w:rPr>
          <w:rFonts w:hint="eastAsia" w:ascii="仿宋" w:hAnsi="仿宋" w:eastAsia="仿宋"/>
          <w:color w:val="auto"/>
          <w:sz w:val="30"/>
          <w:szCs w:val="30"/>
        </w:rPr>
        <w:t>终止情况发生时仍然</w:t>
      </w:r>
      <w:r>
        <w:rPr>
          <w:rFonts w:ascii="仿宋" w:hAnsi="仿宋" w:eastAsia="仿宋"/>
          <w:color w:val="auto"/>
          <w:sz w:val="30"/>
          <w:szCs w:val="30"/>
        </w:rPr>
        <w:t>有效。</w:t>
      </w:r>
    </w:p>
    <w:p w14:paraId="58196453">
      <w:pPr>
        <w:keepNext w:val="0"/>
        <w:keepLines w:val="0"/>
        <w:pageBreakBefore w:val="0"/>
        <w:tabs>
          <w:tab w:val="left" w:pos="0"/>
          <w:tab w:val="left" w:pos="851"/>
          <w:tab w:val="left" w:pos="993"/>
        </w:tabs>
        <w:kinsoku/>
        <w:wordWrap/>
        <w:overflowPunct/>
        <w:topLinePunct w:val="0"/>
        <w:autoSpaceDE/>
        <w:autoSpaceDN/>
        <w:bidi w:val="0"/>
        <w:spacing w:line="470" w:lineRule="exact"/>
        <w:ind w:firstLine="600" w:firstLineChars="200"/>
        <w:textAlignment w:val="auto"/>
        <w:outlineLvl w:val="1"/>
        <w:rPr>
          <w:rFonts w:ascii="仿宋" w:hAnsi="仿宋" w:eastAsia="仿宋"/>
          <w:color w:val="auto"/>
          <w:sz w:val="30"/>
          <w:szCs w:val="30"/>
        </w:rPr>
      </w:pPr>
      <w:r>
        <w:rPr>
          <w:rFonts w:hint="eastAsia" w:ascii="仿宋" w:hAnsi="仿宋" w:eastAsia="仿宋"/>
          <w:color w:val="auto"/>
          <w:sz w:val="30"/>
          <w:szCs w:val="30"/>
        </w:rPr>
        <w:t>（九）如合同及附件就乙方同一违约事项约定的违约责任不一致的，不一致部分以甲方明确主张为准。</w:t>
      </w:r>
    </w:p>
    <w:p w14:paraId="256A9BD8">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第十二条</w:t>
      </w:r>
      <w:r>
        <w:rPr>
          <w:rFonts w:ascii="仿宋" w:hAnsi="仿宋" w:eastAsia="仿宋"/>
          <w:b/>
          <w:color w:val="auto"/>
          <w:sz w:val="30"/>
          <w:szCs w:val="30"/>
        </w:rPr>
        <w:t xml:space="preserve"> 合同的终止与解除</w:t>
      </w:r>
    </w:p>
    <w:p w14:paraId="5A748BED">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s="仿宋"/>
          <w:color w:val="auto"/>
          <w:sz w:val="30"/>
          <w:szCs w:val="30"/>
        </w:rPr>
      </w:pPr>
      <w:r>
        <w:rPr>
          <w:rFonts w:hint="eastAsia" w:ascii="仿宋" w:hAnsi="仿宋" w:eastAsia="仿宋" w:cs="仿宋"/>
          <w:color w:val="auto"/>
          <w:sz w:val="30"/>
          <w:szCs w:val="30"/>
        </w:rPr>
        <w:t xml:space="preserve">（一）在合同履行期间，如发生下述任何一种情况，双方有权终止、解除本合同，除双方另有约定外，不需承担违约责任： </w:t>
      </w:r>
    </w:p>
    <w:p w14:paraId="5537E8DB">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s="仿宋"/>
          <w:color w:val="auto"/>
          <w:sz w:val="30"/>
          <w:szCs w:val="30"/>
        </w:rPr>
      </w:pPr>
      <w:r>
        <w:rPr>
          <w:rFonts w:hint="eastAsia" w:ascii="仿宋" w:hAnsi="仿宋" w:eastAsia="仿宋"/>
          <w:color w:val="auto"/>
          <w:sz w:val="30"/>
          <w:szCs w:val="30"/>
        </w:rPr>
        <w:t>1、</w:t>
      </w:r>
      <w:r>
        <w:rPr>
          <w:rFonts w:hint="eastAsia" w:ascii="仿宋" w:hAnsi="仿宋" w:eastAsia="仿宋" w:cs="仿宋"/>
          <w:color w:val="auto"/>
          <w:sz w:val="30"/>
          <w:szCs w:val="30"/>
        </w:rPr>
        <w:t xml:space="preserve">国家政策、法令而至本合同无法履行的； </w:t>
      </w:r>
    </w:p>
    <w:p w14:paraId="1332EBF1">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s="仿宋"/>
          <w:color w:val="auto"/>
          <w:sz w:val="30"/>
          <w:szCs w:val="30"/>
        </w:rPr>
      </w:pPr>
      <w:r>
        <w:rPr>
          <w:rFonts w:hint="eastAsia" w:ascii="仿宋" w:hAnsi="仿宋" w:eastAsia="仿宋"/>
          <w:color w:val="auto"/>
          <w:sz w:val="30"/>
          <w:szCs w:val="30"/>
        </w:rPr>
        <w:t>2、</w:t>
      </w:r>
      <w:r>
        <w:rPr>
          <w:rFonts w:hint="eastAsia" w:ascii="仿宋" w:hAnsi="仿宋" w:eastAsia="仿宋" w:cs="仿宋"/>
          <w:color w:val="auto"/>
          <w:sz w:val="30"/>
          <w:szCs w:val="30"/>
        </w:rPr>
        <w:t>因一方解散、破产、合并、分立、查封、吊销营业执照而至本合同无法履行的；</w:t>
      </w:r>
    </w:p>
    <w:p w14:paraId="7AB624C1">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s="仿宋"/>
          <w:color w:val="auto"/>
          <w:sz w:val="30"/>
          <w:szCs w:val="30"/>
        </w:rPr>
      </w:pPr>
      <w:r>
        <w:rPr>
          <w:rFonts w:hint="eastAsia" w:ascii="仿宋" w:hAnsi="仿宋" w:eastAsia="仿宋"/>
          <w:color w:val="auto"/>
          <w:sz w:val="30"/>
          <w:szCs w:val="30"/>
        </w:rPr>
        <w:t>3、</w:t>
      </w:r>
      <w:r>
        <w:rPr>
          <w:rFonts w:hint="eastAsia" w:ascii="仿宋" w:hAnsi="仿宋" w:eastAsia="仿宋" w:cs="仿宋"/>
          <w:color w:val="auto"/>
          <w:sz w:val="30"/>
          <w:szCs w:val="30"/>
        </w:rPr>
        <w:t>发生不可抗力事件，包括但不限于地震、自然灾害、战争等不能预见、不能避免并不能克服的客观情况，导致事后无法恢复的；</w:t>
      </w:r>
    </w:p>
    <w:p w14:paraId="11A71C1E">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s="仿宋"/>
          <w:color w:val="auto"/>
          <w:sz w:val="30"/>
          <w:szCs w:val="30"/>
        </w:rPr>
      </w:pPr>
      <w:r>
        <w:rPr>
          <w:rFonts w:hint="eastAsia" w:ascii="仿宋" w:hAnsi="仿宋" w:eastAsia="仿宋"/>
          <w:color w:val="auto"/>
          <w:sz w:val="30"/>
          <w:szCs w:val="30"/>
        </w:rPr>
        <w:t>4、</w:t>
      </w:r>
      <w:r>
        <w:rPr>
          <w:rFonts w:hint="eastAsia" w:ascii="仿宋" w:hAnsi="仿宋" w:eastAsia="仿宋" w:cs="仿宋"/>
          <w:color w:val="auto"/>
          <w:sz w:val="30"/>
          <w:szCs w:val="30"/>
        </w:rPr>
        <w:t>经双方协商一致，同意终止、解除的；</w:t>
      </w:r>
    </w:p>
    <w:p w14:paraId="68B98B33">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5、</w:t>
      </w:r>
      <w:r>
        <w:rPr>
          <w:rFonts w:ascii="仿宋" w:hAnsi="仿宋" w:eastAsia="仿宋"/>
          <w:color w:val="auto"/>
          <w:sz w:val="30"/>
          <w:szCs w:val="30"/>
        </w:rPr>
        <w:t>合同期限届满且合同主体都已完全履行合同中约定的义务</w:t>
      </w:r>
      <w:r>
        <w:rPr>
          <w:rFonts w:hint="eastAsia" w:ascii="仿宋" w:hAnsi="仿宋" w:eastAsia="仿宋"/>
          <w:color w:val="auto"/>
          <w:sz w:val="30"/>
          <w:szCs w:val="30"/>
        </w:rPr>
        <w:t>。</w:t>
      </w:r>
    </w:p>
    <w:p w14:paraId="72EDA764">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（二）</w:t>
      </w:r>
      <w:r>
        <w:rPr>
          <w:rFonts w:ascii="仿宋" w:hAnsi="仿宋" w:eastAsia="仿宋"/>
          <w:color w:val="auto"/>
          <w:kern w:val="0"/>
          <w:sz w:val="30"/>
          <w:szCs w:val="30"/>
        </w:rPr>
        <w:t>在合同期内，若甲方退出本项目物业的管理，甲方按照乙方的实际维护保养时间计算维护保养费支付给乙方（不足一月按天计算），甲方不承担违约责任，本合同随即终止。</w:t>
      </w:r>
    </w:p>
    <w:p w14:paraId="4687F7EB">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（三）</w:t>
      </w:r>
      <w:r>
        <w:rPr>
          <w:rFonts w:ascii="仿宋" w:hAnsi="仿宋" w:eastAsia="仿宋"/>
          <w:color w:val="auto"/>
          <w:kern w:val="0"/>
          <w:sz w:val="30"/>
          <w:szCs w:val="30"/>
        </w:rPr>
        <w:t>乙方因未按国家、省、市标准及本合同约定的维护频次、时间、维护标准提供维修保养服务致使发生消防安全事故的，甲方有权单方解除合同，</w:t>
      </w:r>
      <w:r>
        <w:rPr>
          <w:rFonts w:hint="eastAsia" w:ascii="仿宋" w:hAnsi="仿宋" w:eastAsia="仿宋"/>
          <w:color w:val="auto"/>
          <w:kern w:val="0"/>
          <w:sz w:val="30"/>
          <w:szCs w:val="30"/>
        </w:rPr>
        <w:t>且不退还履约保证金</w:t>
      </w:r>
      <w:r>
        <w:rPr>
          <w:rFonts w:ascii="仿宋" w:hAnsi="仿宋" w:eastAsia="仿宋"/>
          <w:color w:val="auto"/>
          <w:kern w:val="0"/>
          <w:sz w:val="30"/>
          <w:szCs w:val="30"/>
        </w:rPr>
        <w:t>。乙方对此给甲方或者第三人造成的损失负责赔偿</w:t>
      </w:r>
      <w:r>
        <w:rPr>
          <w:rFonts w:hint="eastAsia" w:ascii="仿宋" w:hAnsi="仿宋" w:eastAsia="仿宋"/>
          <w:color w:val="auto"/>
          <w:kern w:val="0"/>
          <w:sz w:val="30"/>
          <w:szCs w:val="30"/>
        </w:rPr>
        <w:t>，且应按照本合同约定承担违约责任</w:t>
      </w:r>
      <w:r>
        <w:rPr>
          <w:rFonts w:ascii="仿宋" w:hAnsi="仿宋" w:eastAsia="仿宋"/>
          <w:color w:val="auto"/>
          <w:kern w:val="0"/>
          <w:sz w:val="30"/>
          <w:szCs w:val="30"/>
        </w:rPr>
        <w:t>。</w:t>
      </w:r>
    </w:p>
    <w:p w14:paraId="52B5706C">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（四）</w:t>
      </w:r>
      <w:r>
        <w:rPr>
          <w:rFonts w:ascii="仿宋" w:hAnsi="仿宋" w:eastAsia="仿宋"/>
          <w:color w:val="auto"/>
          <w:kern w:val="0"/>
          <w:sz w:val="30"/>
          <w:szCs w:val="30"/>
        </w:rPr>
        <w:t>消防主管部门检查时，因乙方维保原因出现消防系统存在故障或安全隐患导致相关整改费用、罚款的或检查不合格的，甲方有权单方解除合同，</w:t>
      </w:r>
      <w:r>
        <w:rPr>
          <w:rFonts w:hint="eastAsia" w:ascii="仿宋" w:hAnsi="仿宋" w:eastAsia="仿宋"/>
          <w:color w:val="auto"/>
          <w:kern w:val="0"/>
          <w:sz w:val="30"/>
          <w:szCs w:val="30"/>
        </w:rPr>
        <w:t>不退还履约保证金</w:t>
      </w:r>
      <w:r>
        <w:rPr>
          <w:rFonts w:ascii="仿宋" w:hAnsi="仿宋" w:eastAsia="仿宋"/>
          <w:color w:val="auto"/>
          <w:kern w:val="0"/>
          <w:sz w:val="30"/>
          <w:szCs w:val="30"/>
        </w:rPr>
        <w:t>并不承担任何法律责任。相关整改费用、罚款等由乙方承担；如由甲方先行支付，则可向乙方追偿。</w:t>
      </w:r>
      <w:r>
        <w:rPr>
          <w:rFonts w:hint="eastAsia" w:ascii="仿宋" w:hAnsi="仿宋" w:eastAsia="仿宋"/>
          <w:color w:val="auto"/>
          <w:kern w:val="0"/>
          <w:sz w:val="30"/>
          <w:szCs w:val="30"/>
        </w:rPr>
        <w:t>乙方应按照本合同约定承担违约责任。</w:t>
      </w:r>
    </w:p>
    <w:p w14:paraId="2A104CB8">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（五）</w:t>
      </w:r>
      <w:r>
        <w:rPr>
          <w:rFonts w:ascii="仿宋" w:hAnsi="仿宋" w:eastAsia="仿宋"/>
          <w:color w:val="auto"/>
          <w:sz w:val="30"/>
          <w:szCs w:val="30"/>
        </w:rPr>
        <w:t>乙方</w:t>
      </w:r>
      <w:r>
        <w:rPr>
          <w:rFonts w:hint="eastAsia" w:ascii="仿宋" w:hAnsi="仿宋" w:eastAsia="仿宋"/>
          <w:color w:val="auto"/>
          <w:sz w:val="30"/>
          <w:szCs w:val="30"/>
        </w:rPr>
        <w:t>累计</w:t>
      </w:r>
      <w:r>
        <w:rPr>
          <w:rFonts w:ascii="仿宋" w:hAnsi="仿宋" w:eastAsia="仿宋"/>
          <w:color w:val="auto"/>
          <w:sz w:val="30"/>
          <w:szCs w:val="30"/>
        </w:rPr>
        <w:t>出现</w:t>
      </w:r>
      <w:r>
        <w:rPr>
          <w:rFonts w:ascii="仿宋" w:hAnsi="仿宋" w:eastAsia="仿宋"/>
          <w:color w:val="auto"/>
          <w:sz w:val="30"/>
          <w:szCs w:val="30"/>
          <w:u w:val="single"/>
        </w:rPr>
        <w:t xml:space="preserve">3 </w:t>
      </w:r>
      <w:r>
        <w:rPr>
          <w:rFonts w:ascii="仿宋" w:hAnsi="仿宋" w:eastAsia="仿宋"/>
          <w:color w:val="auto"/>
          <w:sz w:val="30"/>
          <w:szCs w:val="30"/>
        </w:rPr>
        <w:t>次及以上维保达不到合同约定的维护保养标准或要求，或保养期限内出现经第三方权威机构鉴定的属于乙方责任的重大安全隐患，甲方有权立即解除合同，</w:t>
      </w:r>
      <w:r>
        <w:rPr>
          <w:rFonts w:hint="eastAsia" w:ascii="仿宋" w:hAnsi="仿宋" w:eastAsia="仿宋"/>
          <w:color w:val="auto"/>
          <w:sz w:val="30"/>
          <w:szCs w:val="30"/>
        </w:rPr>
        <w:t>且不退还履约保证金</w:t>
      </w:r>
      <w:r>
        <w:rPr>
          <w:rFonts w:ascii="仿宋" w:hAnsi="仿宋" w:eastAsia="仿宋"/>
          <w:color w:val="auto"/>
          <w:sz w:val="30"/>
          <w:szCs w:val="30"/>
        </w:rPr>
        <w:t>。</w:t>
      </w:r>
      <w:r>
        <w:rPr>
          <w:rFonts w:hint="eastAsia" w:ascii="仿宋" w:hAnsi="仿宋" w:eastAsia="仿宋"/>
          <w:color w:val="auto"/>
          <w:sz w:val="30"/>
          <w:szCs w:val="30"/>
        </w:rPr>
        <w:t>乙方应按照本合同约定承担违约责任。</w:t>
      </w:r>
    </w:p>
    <w:p w14:paraId="00CC16EB">
      <w:pPr>
        <w:keepNext w:val="0"/>
        <w:keepLines w:val="0"/>
        <w:pageBreakBefore w:val="0"/>
        <w:widowControl/>
        <w:kinsoku/>
        <w:wordWrap/>
        <w:overflowPunct/>
        <w:topLinePunct w:val="0"/>
        <w:autoSpaceDE/>
        <w:autoSpaceDN/>
        <w:bidi w:val="0"/>
        <w:adjustRightInd w:val="0"/>
        <w:snapToGrid w:val="0"/>
        <w:spacing w:line="47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（六）</w:t>
      </w:r>
      <w:r>
        <w:rPr>
          <w:rFonts w:ascii="仿宋" w:hAnsi="仿宋" w:eastAsia="仿宋"/>
          <w:color w:val="auto"/>
          <w:kern w:val="0"/>
          <w:sz w:val="30"/>
          <w:szCs w:val="30"/>
        </w:rPr>
        <w:t>在设备发生故障或其他突发事件时，因乙方未按合同约定及时到达现场或虽按时到达现场但未及时处理设备故障，导致发生人员伤亡的，甲方有权无需通知乙方立即自动终止本合同，</w:t>
      </w:r>
      <w:r>
        <w:rPr>
          <w:rFonts w:hint="eastAsia" w:ascii="仿宋" w:hAnsi="仿宋" w:eastAsia="仿宋"/>
          <w:color w:val="auto"/>
          <w:kern w:val="0"/>
          <w:sz w:val="30"/>
          <w:szCs w:val="30"/>
        </w:rPr>
        <w:t>且不退还履约保证金</w:t>
      </w:r>
      <w:r>
        <w:rPr>
          <w:rFonts w:ascii="仿宋" w:hAnsi="仿宋" w:eastAsia="仿宋"/>
          <w:color w:val="auto"/>
          <w:kern w:val="0"/>
          <w:sz w:val="30"/>
          <w:szCs w:val="30"/>
        </w:rPr>
        <w:t>。</w:t>
      </w:r>
      <w:r>
        <w:rPr>
          <w:rFonts w:hint="eastAsia" w:ascii="仿宋" w:hAnsi="仿宋" w:eastAsia="仿宋"/>
          <w:color w:val="auto"/>
          <w:kern w:val="0"/>
          <w:sz w:val="30"/>
          <w:szCs w:val="30"/>
        </w:rPr>
        <w:t>乙方应按照本合同约定承担违约责任。</w:t>
      </w:r>
    </w:p>
    <w:p w14:paraId="16A20052">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（七）</w:t>
      </w:r>
      <w:r>
        <w:rPr>
          <w:rFonts w:ascii="仿宋" w:hAnsi="仿宋" w:eastAsia="仿宋"/>
          <w:color w:val="auto"/>
          <w:sz w:val="30"/>
          <w:szCs w:val="30"/>
        </w:rPr>
        <w:t>乙方违反约定将本合同项下维保服务转包或分包的，甲方有权单方面解除本协议，</w:t>
      </w:r>
      <w:r>
        <w:rPr>
          <w:rFonts w:hint="eastAsia" w:ascii="仿宋" w:hAnsi="仿宋" w:eastAsia="仿宋"/>
          <w:color w:val="auto"/>
          <w:sz w:val="30"/>
          <w:szCs w:val="30"/>
        </w:rPr>
        <w:t>不退还履约保证金，</w:t>
      </w:r>
      <w:r>
        <w:rPr>
          <w:rFonts w:ascii="仿宋" w:hAnsi="仿宋" w:eastAsia="仿宋"/>
          <w:color w:val="auto"/>
          <w:sz w:val="30"/>
          <w:szCs w:val="30"/>
        </w:rPr>
        <w:t>甲方不承担任何法律责任。</w:t>
      </w:r>
    </w:p>
    <w:p w14:paraId="7928ED09">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（八）</w:t>
      </w:r>
      <w:r>
        <w:rPr>
          <w:rFonts w:ascii="仿宋" w:hAnsi="仿宋" w:eastAsia="仿宋"/>
          <w:color w:val="auto"/>
          <w:sz w:val="30"/>
          <w:szCs w:val="30"/>
        </w:rPr>
        <w:t>乙方对甲方工作人员赠送现金、礼品或请吃等行为，如经发现，甲方有权立即解除合同，</w:t>
      </w:r>
      <w:r>
        <w:rPr>
          <w:rFonts w:hint="eastAsia" w:ascii="仿宋" w:hAnsi="仿宋" w:eastAsia="仿宋"/>
          <w:color w:val="auto"/>
          <w:sz w:val="30"/>
          <w:szCs w:val="30"/>
        </w:rPr>
        <w:t>不退还履约保证金，</w:t>
      </w:r>
      <w:r>
        <w:rPr>
          <w:rFonts w:ascii="仿宋" w:hAnsi="仿宋" w:eastAsia="仿宋"/>
          <w:color w:val="auto"/>
          <w:sz w:val="30"/>
          <w:szCs w:val="30"/>
        </w:rPr>
        <w:t>且不承担任何违约责任。</w:t>
      </w:r>
    </w:p>
    <w:p w14:paraId="335B277C">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（九）</w:t>
      </w:r>
      <w:r>
        <w:rPr>
          <w:rFonts w:ascii="仿宋" w:hAnsi="仿宋" w:eastAsia="仿宋"/>
          <w:color w:val="auto"/>
          <w:sz w:val="30"/>
          <w:szCs w:val="30"/>
        </w:rPr>
        <w:t>乙方没有、丧失或资质不全的，甲方有权单方面解除本</w:t>
      </w:r>
      <w:r>
        <w:rPr>
          <w:rFonts w:hint="eastAsia" w:ascii="仿宋" w:hAnsi="仿宋" w:eastAsia="仿宋"/>
          <w:color w:val="auto"/>
          <w:sz w:val="30"/>
          <w:szCs w:val="30"/>
        </w:rPr>
        <w:t>合同</w:t>
      </w:r>
      <w:r>
        <w:rPr>
          <w:rFonts w:ascii="仿宋" w:hAnsi="仿宋" w:eastAsia="仿宋"/>
          <w:color w:val="auto"/>
          <w:sz w:val="30"/>
          <w:szCs w:val="30"/>
        </w:rPr>
        <w:t>，</w:t>
      </w:r>
      <w:r>
        <w:rPr>
          <w:rFonts w:hint="eastAsia" w:ascii="仿宋" w:hAnsi="仿宋" w:eastAsia="仿宋"/>
          <w:color w:val="auto"/>
          <w:sz w:val="30"/>
          <w:szCs w:val="30"/>
        </w:rPr>
        <w:t>且不退还履约保证金。</w:t>
      </w:r>
    </w:p>
    <w:p w14:paraId="28520DAF">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w:t>
      </w:r>
      <w:r>
        <w:rPr>
          <w:rFonts w:ascii="仿宋" w:hAnsi="仿宋" w:eastAsia="仿宋"/>
          <w:color w:val="auto"/>
          <w:sz w:val="30"/>
          <w:szCs w:val="30"/>
        </w:rPr>
        <w:t>乙方侵犯甲方及甲方业主人身、财产安全的，甲方有权单方面解除本</w:t>
      </w:r>
      <w:r>
        <w:rPr>
          <w:rFonts w:hint="eastAsia" w:ascii="仿宋" w:hAnsi="仿宋" w:eastAsia="仿宋"/>
          <w:color w:val="auto"/>
          <w:sz w:val="30"/>
          <w:szCs w:val="30"/>
        </w:rPr>
        <w:t>合同</w:t>
      </w:r>
      <w:r>
        <w:rPr>
          <w:rFonts w:ascii="仿宋" w:hAnsi="仿宋" w:eastAsia="仿宋"/>
          <w:color w:val="auto"/>
          <w:sz w:val="30"/>
          <w:szCs w:val="30"/>
        </w:rPr>
        <w:t>，</w:t>
      </w:r>
      <w:r>
        <w:rPr>
          <w:rFonts w:hint="eastAsia" w:ascii="仿宋" w:hAnsi="仿宋" w:eastAsia="仿宋"/>
          <w:color w:val="auto"/>
          <w:sz w:val="30"/>
          <w:szCs w:val="30"/>
        </w:rPr>
        <w:t>不退还履约保证金，</w:t>
      </w:r>
      <w:r>
        <w:rPr>
          <w:rFonts w:ascii="仿宋" w:hAnsi="仿宋" w:eastAsia="仿宋"/>
          <w:color w:val="auto"/>
          <w:sz w:val="30"/>
          <w:szCs w:val="30"/>
        </w:rPr>
        <w:t>甲方不承担任何法律责任。</w:t>
      </w:r>
      <w:r>
        <w:rPr>
          <w:rFonts w:hint="eastAsia" w:ascii="仿宋" w:hAnsi="仿宋" w:eastAsia="仿宋"/>
          <w:color w:val="auto"/>
          <w:sz w:val="30"/>
          <w:szCs w:val="30"/>
        </w:rPr>
        <w:t>因此造成的损失，乙方自行承担一切赔偿责任。</w:t>
      </w:r>
    </w:p>
    <w:p w14:paraId="4233F191">
      <w:pPr>
        <w:keepNext w:val="0"/>
        <w:keepLines w:val="0"/>
        <w:pageBreakBefore w:val="0"/>
        <w:kinsoku/>
        <w:wordWrap/>
        <w:overflowPunct/>
        <w:topLinePunct w:val="0"/>
        <w:autoSpaceDE/>
        <w:autoSpaceDN/>
        <w:bidi w:val="0"/>
        <w:adjustRightInd w:val="0"/>
        <w:snapToGrid w:val="0"/>
        <w:spacing w:line="47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（十一）乙方在本合同履行期间及终止后，向甲方业主或任何第三方散布不利于甲方名誉的言论，经甲方发现的，甲方有权单方解除本合同并有权要求乙方承担本合同总金额10%的违约金。</w:t>
      </w:r>
    </w:p>
    <w:p w14:paraId="109F33B7">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（十二）</w:t>
      </w:r>
      <w:r>
        <w:rPr>
          <w:rFonts w:ascii="仿宋" w:hAnsi="仿宋" w:eastAsia="仿宋"/>
          <w:color w:val="auto"/>
          <w:sz w:val="30"/>
          <w:szCs w:val="30"/>
        </w:rPr>
        <w:t>合同终止或解除后，不影响双方在合同中约定的结算和清理条款的效力，双方依约据实结算，实行多退少补，双方另有约定除外。</w:t>
      </w:r>
    </w:p>
    <w:p w14:paraId="5FC2D020">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b/>
          <w:color w:val="auto"/>
          <w:sz w:val="30"/>
          <w:szCs w:val="30"/>
        </w:rPr>
      </w:pPr>
      <w:r>
        <w:rPr>
          <w:rFonts w:hint="eastAsia" w:ascii="仿宋" w:hAnsi="仿宋" w:eastAsia="仿宋"/>
          <w:b/>
          <w:color w:val="auto"/>
          <w:sz w:val="30"/>
          <w:szCs w:val="30"/>
        </w:rPr>
        <w:t>第十三条</w:t>
      </w:r>
      <w:r>
        <w:rPr>
          <w:rFonts w:ascii="仿宋" w:hAnsi="仿宋" w:eastAsia="仿宋"/>
          <w:b/>
          <w:color w:val="auto"/>
          <w:sz w:val="30"/>
          <w:szCs w:val="30"/>
        </w:rPr>
        <w:t xml:space="preserve"> </w:t>
      </w:r>
      <w:r>
        <w:rPr>
          <w:rFonts w:hint="eastAsia" w:ascii="仿宋" w:hAnsi="仿宋" w:eastAsia="仿宋"/>
          <w:b/>
          <w:color w:val="auto"/>
          <w:sz w:val="30"/>
          <w:szCs w:val="30"/>
        </w:rPr>
        <w:t>保密条款</w:t>
      </w:r>
    </w:p>
    <w:p w14:paraId="797443AC">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0" w:firstLineChars="200"/>
        <w:jc w:val="left"/>
        <w:textAlignment w:val="auto"/>
        <w:outlineLvl w:val="0"/>
        <w:rPr>
          <w:rFonts w:ascii="仿宋" w:hAnsi="仿宋" w:eastAsia="仿宋"/>
          <w:color w:val="auto"/>
          <w:sz w:val="30"/>
          <w:szCs w:val="30"/>
        </w:rPr>
      </w:pPr>
      <w:r>
        <w:rPr>
          <w:rFonts w:hint="eastAsia" w:ascii="仿宋" w:hAnsi="仿宋" w:eastAsia="仿宋"/>
          <w:color w:val="auto"/>
          <w:sz w:val="30"/>
          <w:szCs w:val="30"/>
        </w:rPr>
        <w:t>（一）任一方应将与下列事项有关的、在签订或履行本合同中获得的全部信息视为保密信息：</w:t>
      </w:r>
    </w:p>
    <w:p w14:paraId="7D8650B8">
      <w:pPr>
        <w:keepNext w:val="0"/>
        <w:keepLines w:val="0"/>
        <w:pageBreakBefore w:val="0"/>
        <w:tabs>
          <w:tab w:val="left" w:pos="1985"/>
        </w:tabs>
        <w:kinsoku/>
        <w:wordWrap/>
        <w:overflowPunct/>
        <w:topLinePunct w:val="0"/>
        <w:autoSpaceDE/>
        <w:autoSpaceDN/>
        <w:bidi w:val="0"/>
        <w:spacing w:line="47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1、本合同条款；</w:t>
      </w:r>
    </w:p>
    <w:p w14:paraId="27B4C980">
      <w:pPr>
        <w:keepNext w:val="0"/>
        <w:keepLines w:val="0"/>
        <w:pageBreakBefore w:val="0"/>
        <w:tabs>
          <w:tab w:val="left" w:pos="1985"/>
        </w:tabs>
        <w:kinsoku/>
        <w:wordWrap/>
        <w:overflowPunct/>
        <w:topLinePunct w:val="0"/>
        <w:autoSpaceDE/>
        <w:autoSpaceDN/>
        <w:bidi w:val="0"/>
        <w:spacing w:line="47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2、与本合同有关的谈判；</w:t>
      </w:r>
    </w:p>
    <w:p w14:paraId="44249BD3">
      <w:pPr>
        <w:keepNext w:val="0"/>
        <w:keepLines w:val="0"/>
        <w:pageBreakBefore w:val="0"/>
        <w:tabs>
          <w:tab w:val="left" w:pos="1985"/>
          <w:tab w:val="left" w:pos="2552"/>
        </w:tabs>
        <w:kinsoku/>
        <w:wordWrap/>
        <w:overflowPunct/>
        <w:topLinePunct w:val="0"/>
        <w:autoSpaceDE/>
        <w:autoSpaceDN/>
        <w:bidi w:val="0"/>
        <w:spacing w:line="470" w:lineRule="exact"/>
        <w:ind w:firstLine="600" w:firstLineChars="200"/>
        <w:textAlignment w:val="auto"/>
        <w:outlineLvl w:val="2"/>
        <w:rPr>
          <w:rFonts w:ascii="仿宋" w:hAnsi="仿宋" w:eastAsia="仿宋"/>
          <w:color w:val="auto"/>
          <w:sz w:val="30"/>
          <w:szCs w:val="30"/>
        </w:rPr>
      </w:pPr>
      <w:r>
        <w:rPr>
          <w:rFonts w:hint="eastAsia" w:ascii="仿宋" w:hAnsi="仿宋" w:eastAsia="仿宋"/>
          <w:color w:val="auto"/>
          <w:sz w:val="30"/>
          <w:szCs w:val="30"/>
        </w:rPr>
        <w:t>3、在签订、履行本合同及在谈判中获得的另一方及其关联公司的商业秘密（包括但不限于彼此间披露的一切信息、文件和数据，除非该等数据已经公开）。</w:t>
      </w:r>
    </w:p>
    <w:p w14:paraId="1281CF7D">
      <w:pPr>
        <w:keepNext w:val="0"/>
        <w:keepLines w:val="0"/>
        <w:pageBreakBefore w:val="0"/>
        <w:tabs>
          <w:tab w:val="left" w:pos="1985"/>
          <w:tab w:val="left" w:pos="2552"/>
        </w:tabs>
        <w:kinsoku/>
        <w:wordWrap/>
        <w:overflowPunct/>
        <w:topLinePunct w:val="0"/>
        <w:autoSpaceDE/>
        <w:autoSpaceDN/>
        <w:bidi w:val="0"/>
        <w:spacing w:line="470" w:lineRule="exact"/>
        <w:ind w:firstLine="600" w:firstLineChars="200"/>
        <w:textAlignment w:val="auto"/>
        <w:outlineLvl w:val="2"/>
        <w:rPr>
          <w:rFonts w:ascii="仿宋" w:hAnsi="仿宋" w:eastAsia="仿宋"/>
          <w:color w:val="auto"/>
          <w:sz w:val="30"/>
          <w:szCs w:val="30"/>
        </w:rPr>
      </w:pPr>
      <w:r>
        <w:rPr>
          <w:rFonts w:hint="eastAsia" w:ascii="仿宋" w:hAnsi="仿宋" w:eastAsia="仿宋"/>
          <w:color w:val="auto"/>
          <w:sz w:val="30"/>
          <w:szCs w:val="30"/>
        </w:rPr>
        <w:t>（二）</w:t>
      </w:r>
      <w:r>
        <w:rPr>
          <w:rFonts w:ascii="仿宋" w:hAnsi="仿宋" w:eastAsia="仿宋"/>
          <w:color w:val="auto"/>
          <w:sz w:val="30"/>
          <w:szCs w:val="30"/>
        </w:rPr>
        <w:t>双方在此同意和保证，未经本</w:t>
      </w:r>
      <w:r>
        <w:rPr>
          <w:rFonts w:hint="eastAsia" w:ascii="仿宋" w:hAnsi="仿宋" w:eastAsia="仿宋"/>
          <w:color w:val="auto"/>
          <w:sz w:val="30"/>
          <w:szCs w:val="30"/>
        </w:rPr>
        <w:t>合同</w:t>
      </w:r>
      <w:r>
        <w:rPr>
          <w:rFonts w:ascii="仿宋" w:hAnsi="仿宋" w:eastAsia="仿宋"/>
          <w:color w:val="auto"/>
          <w:sz w:val="30"/>
          <w:szCs w:val="30"/>
        </w:rPr>
        <w:t>另一方书面同意，不得将</w:t>
      </w:r>
      <w:r>
        <w:rPr>
          <w:rFonts w:hint="eastAsia" w:ascii="仿宋" w:hAnsi="仿宋" w:eastAsia="仿宋"/>
          <w:color w:val="auto"/>
          <w:sz w:val="30"/>
          <w:szCs w:val="30"/>
        </w:rPr>
        <w:t>保密信息</w:t>
      </w:r>
      <w:r>
        <w:rPr>
          <w:rFonts w:ascii="仿宋" w:hAnsi="仿宋" w:eastAsia="仿宋"/>
          <w:color w:val="auto"/>
          <w:sz w:val="30"/>
          <w:szCs w:val="30"/>
        </w:rPr>
        <w:t>向任何第三方披露</w:t>
      </w:r>
      <w:r>
        <w:rPr>
          <w:rFonts w:hint="eastAsia" w:ascii="仿宋" w:hAnsi="仿宋" w:eastAsia="仿宋"/>
          <w:color w:val="auto"/>
          <w:sz w:val="30"/>
          <w:szCs w:val="30"/>
        </w:rPr>
        <w:t>，否则将承担由此引发的全部法律责任并赔偿由此给对方造成的所有损失，</w:t>
      </w:r>
      <w:r>
        <w:rPr>
          <w:rFonts w:hint="eastAsia" w:ascii="仿宋" w:hAnsi="仿宋" w:eastAsia="仿宋" w:cs="仿宋_GB2312"/>
          <w:color w:val="auto"/>
          <w:sz w:val="30"/>
          <w:szCs w:val="30"/>
        </w:rPr>
        <w:t>但对方依法提供或第三方通过其他渠道知晓或该类资料已经进入公众渠道等非己方原因导致的除外</w:t>
      </w:r>
      <w:r>
        <w:rPr>
          <w:rFonts w:hint="eastAsia" w:ascii="仿宋" w:hAnsi="仿宋" w:eastAsia="仿宋"/>
          <w:color w:val="auto"/>
          <w:sz w:val="30"/>
          <w:szCs w:val="30"/>
        </w:rPr>
        <w:t>；</w:t>
      </w:r>
      <w:r>
        <w:rPr>
          <w:rFonts w:ascii="仿宋" w:hAnsi="仿宋" w:eastAsia="仿宋"/>
          <w:color w:val="auto"/>
          <w:sz w:val="30"/>
          <w:szCs w:val="30"/>
        </w:rPr>
        <w:t>在本</w:t>
      </w:r>
      <w:r>
        <w:rPr>
          <w:rFonts w:hint="eastAsia" w:ascii="仿宋" w:hAnsi="仿宋" w:eastAsia="仿宋"/>
          <w:color w:val="auto"/>
          <w:sz w:val="30"/>
          <w:szCs w:val="30"/>
        </w:rPr>
        <w:t>合同</w:t>
      </w:r>
      <w:r>
        <w:rPr>
          <w:rFonts w:ascii="仿宋" w:hAnsi="仿宋" w:eastAsia="仿宋"/>
          <w:color w:val="auto"/>
          <w:sz w:val="30"/>
          <w:szCs w:val="30"/>
        </w:rPr>
        <w:t>履行完毕或因任何原因终止后，对本</w:t>
      </w:r>
      <w:r>
        <w:rPr>
          <w:rFonts w:hint="eastAsia" w:ascii="仿宋" w:hAnsi="仿宋" w:eastAsia="仿宋"/>
          <w:color w:val="auto"/>
          <w:sz w:val="30"/>
          <w:szCs w:val="30"/>
        </w:rPr>
        <w:t>合同</w:t>
      </w:r>
      <w:r>
        <w:rPr>
          <w:rFonts w:ascii="仿宋" w:hAnsi="仿宋" w:eastAsia="仿宋"/>
          <w:color w:val="auto"/>
          <w:sz w:val="30"/>
          <w:szCs w:val="30"/>
        </w:rPr>
        <w:t>的任何一方而言，本条规定对其仍具有约束力。但是以下情形除外：</w:t>
      </w:r>
    </w:p>
    <w:p w14:paraId="0BF7EC9B">
      <w:pPr>
        <w:keepNext w:val="0"/>
        <w:keepLines w:val="0"/>
        <w:pageBreakBefore w:val="0"/>
        <w:tabs>
          <w:tab w:val="left" w:pos="1985"/>
          <w:tab w:val="left" w:pos="2552"/>
        </w:tabs>
        <w:kinsoku/>
        <w:wordWrap/>
        <w:overflowPunct/>
        <w:topLinePunct w:val="0"/>
        <w:autoSpaceDE/>
        <w:autoSpaceDN/>
        <w:bidi w:val="0"/>
        <w:spacing w:line="47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1、</w:t>
      </w:r>
      <w:r>
        <w:rPr>
          <w:rFonts w:ascii="仿宋" w:hAnsi="仿宋" w:eastAsia="仿宋"/>
          <w:color w:val="auto"/>
          <w:sz w:val="30"/>
          <w:szCs w:val="30"/>
        </w:rPr>
        <w:t>依据中国法律</w:t>
      </w:r>
      <w:r>
        <w:rPr>
          <w:rFonts w:hint="eastAsia" w:ascii="仿宋" w:hAnsi="仿宋" w:eastAsia="仿宋"/>
          <w:color w:val="auto"/>
          <w:sz w:val="30"/>
          <w:szCs w:val="30"/>
        </w:rPr>
        <w:t>法规</w:t>
      </w:r>
      <w:r>
        <w:rPr>
          <w:rFonts w:ascii="仿宋" w:hAnsi="仿宋" w:eastAsia="仿宋"/>
          <w:color w:val="auto"/>
          <w:sz w:val="30"/>
          <w:szCs w:val="30"/>
        </w:rPr>
        <w:t>要求应当披露；</w:t>
      </w:r>
    </w:p>
    <w:p w14:paraId="5FB10994">
      <w:pPr>
        <w:keepNext w:val="0"/>
        <w:keepLines w:val="0"/>
        <w:pageBreakBefore w:val="0"/>
        <w:tabs>
          <w:tab w:val="left" w:pos="1985"/>
          <w:tab w:val="left" w:pos="2552"/>
        </w:tabs>
        <w:kinsoku/>
        <w:wordWrap/>
        <w:overflowPunct/>
        <w:topLinePunct w:val="0"/>
        <w:autoSpaceDE/>
        <w:autoSpaceDN/>
        <w:bidi w:val="0"/>
        <w:spacing w:line="47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2、</w:t>
      </w:r>
      <w:r>
        <w:rPr>
          <w:rFonts w:ascii="仿宋" w:hAnsi="仿宋" w:eastAsia="仿宋"/>
          <w:color w:val="auto"/>
          <w:sz w:val="30"/>
          <w:szCs w:val="30"/>
        </w:rPr>
        <w:t>依据任何有管辖权的政府机关、监管机构的要求应当披露；</w:t>
      </w:r>
    </w:p>
    <w:p w14:paraId="4D939478">
      <w:pPr>
        <w:keepNext w:val="0"/>
        <w:keepLines w:val="0"/>
        <w:pageBreakBefore w:val="0"/>
        <w:tabs>
          <w:tab w:val="left" w:pos="1985"/>
          <w:tab w:val="left" w:pos="2552"/>
        </w:tabs>
        <w:kinsoku/>
        <w:wordWrap/>
        <w:overflowPunct/>
        <w:topLinePunct w:val="0"/>
        <w:autoSpaceDE/>
        <w:autoSpaceDN/>
        <w:bidi w:val="0"/>
        <w:spacing w:line="47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3、</w:t>
      </w:r>
      <w:r>
        <w:rPr>
          <w:rFonts w:ascii="仿宋" w:hAnsi="仿宋" w:eastAsia="仿宋"/>
          <w:color w:val="auto"/>
          <w:sz w:val="30"/>
          <w:szCs w:val="30"/>
        </w:rPr>
        <w:t>向己方的专业顾问或律师披露；</w:t>
      </w:r>
    </w:p>
    <w:p w14:paraId="2B2D560E">
      <w:pPr>
        <w:keepNext w:val="0"/>
        <w:keepLines w:val="0"/>
        <w:pageBreakBefore w:val="0"/>
        <w:tabs>
          <w:tab w:val="left" w:pos="1985"/>
          <w:tab w:val="left" w:pos="2552"/>
        </w:tabs>
        <w:kinsoku/>
        <w:wordWrap/>
        <w:overflowPunct/>
        <w:topLinePunct w:val="0"/>
        <w:autoSpaceDE/>
        <w:autoSpaceDN/>
        <w:bidi w:val="0"/>
        <w:spacing w:line="47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4、</w:t>
      </w:r>
      <w:r>
        <w:rPr>
          <w:rFonts w:ascii="仿宋" w:hAnsi="仿宋" w:eastAsia="仿宋"/>
          <w:color w:val="auto"/>
          <w:sz w:val="30"/>
          <w:szCs w:val="30"/>
        </w:rPr>
        <w:t>双方事先给予书面同意。</w:t>
      </w:r>
    </w:p>
    <w:p w14:paraId="24FBDF8A">
      <w:pPr>
        <w:keepNext w:val="0"/>
        <w:keepLines w:val="0"/>
        <w:pageBreakBefore w:val="0"/>
        <w:widowControl/>
        <w:tabs>
          <w:tab w:val="left" w:pos="851"/>
          <w:tab w:val="left" w:pos="1702"/>
        </w:tabs>
        <w:kinsoku/>
        <w:wordWrap/>
        <w:overflowPunct/>
        <w:topLinePunct w:val="0"/>
        <w:autoSpaceDE/>
        <w:autoSpaceDN/>
        <w:bidi w:val="0"/>
        <w:adjustRightInd/>
        <w:snapToGrid/>
        <w:spacing w:line="47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第十四条</w:t>
      </w:r>
      <w:r>
        <w:rPr>
          <w:rFonts w:ascii="仿宋" w:hAnsi="仿宋" w:eastAsia="仿宋"/>
          <w:b/>
          <w:color w:val="auto"/>
          <w:sz w:val="30"/>
          <w:szCs w:val="30"/>
        </w:rPr>
        <w:t xml:space="preserve"> </w:t>
      </w:r>
      <w:r>
        <w:rPr>
          <w:rFonts w:hint="eastAsia" w:ascii="仿宋" w:hAnsi="仿宋" w:eastAsia="仿宋"/>
          <w:b/>
          <w:color w:val="auto"/>
          <w:sz w:val="30"/>
          <w:szCs w:val="30"/>
        </w:rPr>
        <w:t>附则</w:t>
      </w:r>
    </w:p>
    <w:p w14:paraId="654BB879">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（一）</w:t>
      </w:r>
      <w:r>
        <w:rPr>
          <w:rFonts w:ascii="仿宋" w:hAnsi="仿宋" w:eastAsia="仿宋"/>
          <w:color w:val="auto"/>
          <w:sz w:val="30"/>
          <w:szCs w:val="30"/>
        </w:rPr>
        <w:t>因甲方所属集团内部管理需要，导致签订本</w:t>
      </w:r>
      <w:r>
        <w:rPr>
          <w:rFonts w:hint="eastAsia" w:ascii="仿宋" w:hAnsi="仿宋" w:eastAsia="仿宋"/>
          <w:color w:val="auto"/>
          <w:sz w:val="30"/>
          <w:szCs w:val="30"/>
        </w:rPr>
        <w:t>合同</w:t>
      </w:r>
      <w:r>
        <w:rPr>
          <w:rFonts w:ascii="仿宋" w:hAnsi="仿宋" w:eastAsia="仿宋"/>
          <w:color w:val="auto"/>
          <w:sz w:val="30"/>
          <w:szCs w:val="30"/>
        </w:rPr>
        <w:t>的甲方注销、合并的，由注销、合并后的甲方所属集团其他企业与乙方签订变更主体的协议，其他内容约定仍然不变，不影响本协议的全面执行。</w:t>
      </w:r>
    </w:p>
    <w:p w14:paraId="1C13B460">
      <w:pPr>
        <w:keepNext w:val="0"/>
        <w:keepLines w:val="0"/>
        <w:pageBreakBefore w:val="0"/>
        <w:tabs>
          <w:tab w:val="left" w:pos="709"/>
        </w:tabs>
        <w:kinsoku/>
        <w:wordWrap/>
        <w:overflowPunct/>
        <w:topLinePunct w:val="0"/>
        <w:autoSpaceDE/>
        <w:autoSpaceDN/>
        <w:bidi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二）如双方当事人无另行书面通知，以本合同文首填写的通讯地址作为邮寄地址，任何需向合同对方当事人送达的通知、函件等，在发送至上述邮寄地址后5日，均视为送达。前述邮寄地址发生变更时，应于变更之日起3日内将新的邮寄地址书面函告合同对方当事人，否则将视为邮寄地址未予变更。</w:t>
      </w:r>
    </w:p>
    <w:p w14:paraId="7DA1783E">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s="仿宋_GB2312"/>
          <w:color w:val="auto"/>
          <w:sz w:val="30"/>
          <w:szCs w:val="30"/>
        </w:rPr>
      </w:pPr>
      <w:r>
        <w:rPr>
          <w:rFonts w:hint="eastAsia" w:ascii="仿宋" w:hAnsi="仿宋" w:eastAsia="仿宋"/>
          <w:color w:val="auto"/>
          <w:sz w:val="30"/>
          <w:szCs w:val="30"/>
        </w:rPr>
        <w:t>（三）</w:t>
      </w:r>
      <w:r>
        <w:rPr>
          <w:rFonts w:hint="eastAsia" w:ascii="仿宋" w:hAnsi="仿宋" w:eastAsia="仿宋" w:cs="仿宋_GB2312"/>
          <w:color w:val="auto"/>
          <w:sz w:val="30"/>
          <w:szCs w:val="30"/>
        </w:rPr>
        <w:t>因本合同之订立、履行发生的争议以及与本合同有关的其他争议，由双方协商解决；协商不成时，双方均有权向甲方所在地人民法院提起诉讼。</w:t>
      </w:r>
    </w:p>
    <w:p w14:paraId="4AB62DB6">
      <w:pPr>
        <w:keepNext w:val="0"/>
        <w:keepLines w:val="0"/>
        <w:pageBreakBefore w:val="0"/>
        <w:kinsoku/>
        <w:wordWrap/>
        <w:overflowPunct/>
        <w:topLinePunct w:val="0"/>
        <w:autoSpaceDE/>
        <w:autoSpaceDN/>
        <w:bidi w:val="0"/>
        <w:adjustRightInd w:val="0"/>
        <w:snapToGrid w:val="0"/>
        <w:spacing w:line="47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（四）本合同未尽事宜，经双方协商，可签订补充协议；补充协议是本合同不可分割的组成部分，与本合同具有同等法律效力。</w:t>
      </w:r>
    </w:p>
    <w:p w14:paraId="1CC9ED41">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s="仿宋_GB2312"/>
          <w:color w:val="auto"/>
          <w:sz w:val="30"/>
          <w:szCs w:val="30"/>
        </w:rPr>
      </w:pPr>
      <w:r>
        <w:rPr>
          <w:rFonts w:hint="eastAsia" w:ascii="仿宋" w:hAnsi="仿宋" w:eastAsia="仿宋"/>
          <w:color w:val="auto"/>
          <w:sz w:val="30"/>
          <w:szCs w:val="30"/>
        </w:rPr>
        <w:t>（五）</w:t>
      </w:r>
      <w:r>
        <w:rPr>
          <w:rFonts w:hint="eastAsia" w:ascii="仿宋" w:hAnsi="仿宋" w:eastAsia="仿宋" w:cs="仿宋_GB2312"/>
          <w:color w:val="auto"/>
          <w:sz w:val="30"/>
          <w:szCs w:val="30"/>
        </w:rPr>
        <w:t>本合同一式</w:t>
      </w:r>
      <w:r>
        <w:rPr>
          <w:rFonts w:hint="eastAsia" w:ascii="仿宋" w:hAnsi="仿宋" w:eastAsia="仿宋" w:cs="仿宋_GB2312"/>
          <w:color w:val="auto"/>
          <w:sz w:val="30"/>
          <w:szCs w:val="30"/>
          <w:u w:val="single"/>
        </w:rPr>
        <w:t xml:space="preserve"> 伍 </w:t>
      </w:r>
      <w:r>
        <w:rPr>
          <w:rFonts w:hint="eastAsia" w:ascii="仿宋" w:hAnsi="仿宋" w:eastAsia="仿宋" w:cs="仿宋_GB2312"/>
          <w:color w:val="auto"/>
          <w:sz w:val="30"/>
          <w:szCs w:val="30"/>
        </w:rPr>
        <w:t>份，甲方执</w:t>
      </w:r>
      <w:r>
        <w:rPr>
          <w:rFonts w:ascii="仿宋" w:hAnsi="仿宋" w:eastAsia="仿宋" w:cs="仿宋_GB2312"/>
          <w:color w:val="auto"/>
          <w:sz w:val="30"/>
          <w:szCs w:val="30"/>
          <w:u w:val="single"/>
        </w:rPr>
        <w:t xml:space="preserve"> </w:t>
      </w:r>
      <w:r>
        <w:rPr>
          <w:rFonts w:hint="eastAsia" w:ascii="仿宋" w:hAnsi="仿宋" w:eastAsia="仿宋" w:cs="仿宋_GB2312"/>
          <w:color w:val="auto"/>
          <w:sz w:val="30"/>
          <w:szCs w:val="30"/>
          <w:u w:val="single"/>
        </w:rPr>
        <w:t xml:space="preserve">肆 </w:t>
      </w:r>
      <w:r>
        <w:rPr>
          <w:rFonts w:hint="eastAsia" w:ascii="仿宋" w:hAnsi="仿宋" w:eastAsia="仿宋" w:cs="仿宋_GB2312"/>
          <w:color w:val="auto"/>
          <w:sz w:val="30"/>
          <w:szCs w:val="30"/>
        </w:rPr>
        <w:t>份，乙方执</w:t>
      </w:r>
      <w:r>
        <w:rPr>
          <w:rFonts w:hint="eastAsia" w:ascii="仿宋" w:hAnsi="仿宋" w:eastAsia="仿宋" w:cs="仿宋_GB2312"/>
          <w:color w:val="auto"/>
          <w:sz w:val="30"/>
          <w:szCs w:val="30"/>
          <w:u w:val="single"/>
        </w:rPr>
        <w:t xml:space="preserve"> 壹 </w:t>
      </w:r>
      <w:r>
        <w:rPr>
          <w:rFonts w:hint="eastAsia" w:ascii="仿宋" w:hAnsi="仿宋" w:eastAsia="仿宋" w:cs="仿宋_GB2312"/>
          <w:color w:val="auto"/>
          <w:sz w:val="30"/>
          <w:szCs w:val="30"/>
        </w:rPr>
        <w:t xml:space="preserve">份，均具有同等法律效力。本合同经双方签字、盖章后生效。 </w:t>
      </w:r>
    </w:p>
    <w:p w14:paraId="4BE35125">
      <w:pPr>
        <w:keepNext w:val="0"/>
        <w:keepLines w:val="0"/>
        <w:pageBreakBefore w:val="0"/>
        <w:widowControl w:val="0"/>
        <w:kinsoku/>
        <w:wordWrap/>
        <w:overflowPunct/>
        <w:topLinePunct w:val="0"/>
        <w:autoSpaceDE/>
        <w:autoSpaceDN/>
        <w:bidi w:val="0"/>
        <w:adjustRightInd w:val="0"/>
        <w:snapToGrid w:val="0"/>
        <w:spacing w:line="470" w:lineRule="exact"/>
        <w:ind w:firstLine="602" w:firstLineChars="200"/>
        <w:textAlignment w:val="auto"/>
        <w:rPr>
          <w:rFonts w:ascii="仿宋" w:hAnsi="仿宋" w:eastAsia="仿宋"/>
          <w:b/>
          <w:bCs/>
          <w:color w:val="auto"/>
          <w:sz w:val="30"/>
          <w:szCs w:val="30"/>
        </w:rPr>
      </w:pPr>
      <w:r>
        <w:rPr>
          <w:rFonts w:hint="eastAsia" w:ascii="仿宋" w:hAnsi="仿宋" w:eastAsia="仿宋"/>
          <w:b/>
          <w:bCs/>
          <w:color w:val="auto"/>
          <w:sz w:val="30"/>
          <w:szCs w:val="30"/>
        </w:rPr>
        <w:t>（六）乙方已认真阅读、充分理解本合同中各条款，包括免除甲方责任的免责条款及对乙方的权利限制条款。乙方认为本合同内容不存在任何歧义，并同意按照合同约定履行义务。</w:t>
      </w:r>
    </w:p>
    <w:p w14:paraId="54CB6C51">
      <w:pPr>
        <w:keepNext w:val="0"/>
        <w:keepLines w:val="0"/>
        <w:pageBreakBefore w:val="0"/>
        <w:kinsoku/>
        <w:wordWrap/>
        <w:overflowPunct/>
        <w:topLinePunct w:val="0"/>
        <w:autoSpaceDE/>
        <w:autoSpaceDN/>
        <w:bidi w:val="0"/>
        <w:spacing w:line="470" w:lineRule="exact"/>
        <w:ind w:firstLine="600" w:firstLineChars="200"/>
        <w:textAlignment w:val="auto"/>
        <w:rPr>
          <w:rFonts w:ascii="仿宋" w:hAnsi="仿宋" w:eastAsia="仿宋" w:cs="仿宋_GB2312"/>
          <w:color w:val="auto"/>
          <w:sz w:val="30"/>
          <w:szCs w:val="30"/>
        </w:rPr>
      </w:pPr>
      <w:r>
        <w:rPr>
          <w:rFonts w:hint="eastAsia" w:ascii="仿宋" w:hAnsi="仿宋" w:eastAsia="仿宋"/>
          <w:color w:val="auto"/>
          <w:sz w:val="30"/>
          <w:szCs w:val="30"/>
        </w:rPr>
        <w:t>（七）合同附件：</w:t>
      </w:r>
      <w:r>
        <w:rPr>
          <w:rFonts w:hint="eastAsia" w:ascii="仿宋" w:hAnsi="仿宋" w:eastAsia="仿宋" w:cs="仿宋_GB2312"/>
          <w:color w:val="auto"/>
          <w:sz w:val="30"/>
          <w:szCs w:val="30"/>
        </w:rPr>
        <w:t>本合同附件与合同具备同等法律效力。</w:t>
      </w:r>
    </w:p>
    <w:p w14:paraId="7F5E7374">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附件一：维护保养标准</w:t>
      </w:r>
    </w:p>
    <w:p w14:paraId="5DCD2417">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附件二：消防维保月度总结模板</w:t>
      </w:r>
    </w:p>
    <w:p w14:paraId="49905F69">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附件三：消防维保违约具体情形及扣款</w:t>
      </w:r>
    </w:p>
    <w:p w14:paraId="2BB4C9DC">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附件四：</w:t>
      </w:r>
      <w:r>
        <w:rPr>
          <w:rFonts w:hint="eastAsia" w:ascii="仿宋" w:hAnsi="仿宋" w:eastAsia="仿宋" w:cs="宋体"/>
          <w:color w:val="auto"/>
          <w:kern w:val="0"/>
          <w:sz w:val="30"/>
          <w:szCs w:val="30"/>
        </w:rPr>
        <w:t>单品单件</w:t>
      </w:r>
      <w:r>
        <w:rPr>
          <w:rFonts w:hint="eastAsia" w:ascii="仿宋" w:hAnsi="仿宋" w:eastAsia="仿宋" w:cs="宋体"/>
          <w:color w:val="auto"/>
          <w:kern w:val="0"/>
          <w:sz w:val="30"/>
          <w:szCs w:val="30"/>
          <w:u w:val="single"/>
        </w:rPr>
        <w:t xml:space="preserve"> 200 </w:t>
      </w:r>
      <w:r>
        <w:rPr>
          <w:rFonts w:hint="eastAsia" w:ascii="仿宋" w:hAnsi="仿宋" w:eastAsia="仿宋" w:cs="宋体"/>
          <w:color w:val="auto"/>
          <w:kern w:val="0"/>
          <w:sz w:val="30"/>
          <w:szCs w:val="30"/>
        </w:rPr>
        <w:t>元以下免费配件清单</w:t>
      </w:r>
    </w:p>
    <w:p w14:paraId="2477AB3E">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附件五：</w:t>
      </w:r>
      <w:r>
        <w:rPr>
          <w:rFonts w:ascii="仿宋" w:hAnsi="仿宋" w:eastAsia="仿宋"/>
          <w:color w:val="auto"/>
          <w:kern w:val="0"/>
          <w:sz w:val="30"/>
          <w:szCs w:val="30"/>
          <w:u w:val="single"/>
        </w:rPr>
        <w:t xml:space="preserve"> </w:t>
      </w:r>
      <w:r>
        <w:rPr>
          <w:rFonts w:hint="eastAsia" w:ascii="仿宋" w:hAnsi="仿宋" w:eastAsia="仿宋"/>
          <w:color w:val="auto"/>
          <w:kern w:val="0"/>
          <w:sz w:val="30"/>
          <w:szCs w:val="30"/>
          <w:u w:val="single"/>
        </w:rPr>
        <w:t xml:space="preserve">200 </w:t>
      </w:r>
      <w:r>
        <w:rPr>
          <w:rFonts w:hint="eastAsia" w:ascii="仿宋" w:hAnsi="仿宋" w:eastAsia="仿宋"/>
          <w:color w:val="auto"/>
          <w:kern w:val="0"/>
          <w:sz w:val="30"/>
          <w:szCs w:val="30"/>
        </w:rPr>
        <w:t>元以上付费材料清单</w:t>
      </w:r>
    </w:p>
    <w:p w14:paraId="2A7B1F20">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附件六：季度履约评价表</w:t>
      </w:r>
    </w:p>
    <w:p w14:paraId="4AB762AF">
      <w:pPr>
        <w:keepNext w:val="0"/>
        <w:keepLines w:val="0"/>
        <w:pageBreakBefore w:val="0"/>
        <w:widowControl/>
        <w:kinsoku/>
        <w:wordWrap/>
        <w:overflowPunct/>
        <w:topLinePunct w:val="0"/>
        <w:autoSpaceDE/>
        <w:autoSpaceDN/>
        <w:bidi w:val="0"/>
        <w:snapToGrid w:val="0"/>
        <w:spacing w:line="47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附件七：年度履约评价表</w:t>
      </w:r>
    </w:p>
    <w:p w14:paraId="6841EF90">
      <w:pPr>
        <w:keepNext w:val="0"/>
        <w:keepLines w:val="0"/>
        <w:pageBreakBefore w:val="0"/>
        <w:tabs>
          <w:tab w:val="left" w:pos="405"/>
        </w:tabs>
        <w:kinsoku/>
        <w:wordWrap/>
        <w:overflowPunct/>
        <w:topLinePunct w:val="0"/>
        <w:autoSpaceDE/>
        <w:autoSpaceDN/>
        <w:bidi w:val="0"/>
        <w:spacing w:line="470" w:lineRule="exact"/>
        <w:ind w:left="105" w:leftChars="5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附件八：公司合作方廉洁协议</w:t>
      </w:r>
    </w:p>
    <w:p w14:paraId="015C0109">
      <w:pPr>
        <w:keepNext w:val="0"/>
        <w:keepLines w:val="0"/>
        <w:pageBreakBefore w:val="0"/>
        <w:tabs>
          <w:tab w:val="left" w:pos="405"/>
        </w:tabs>
        <w:kinsoku/>
        <w:wordWrap/>
        <w:overflowPunct/>
        <w:topLinePunct w:val="0"/>
        <w:autoSpaceDE/>
        <w:autoSpaceDN/>
        <w:bidi w:val="0"/>
        <w:spacing w:line="470" w:lineRule="exact"/>
        <w:ind w:left="105" w:leftChars="5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附件九：阳光宣言</w:t>
      </w:r>
    </w:p>
    <w:p w14:paraId="6E1CF082">
      <w:pPr>
        <w:keepNext w:val="0"/>
        <w:keepLines w:val="0"/>
        <w:pageBreakBefore w:val="0"/>
        <w:tabs>
          <w:tab w:val="left" w:pos="405"/>
        </w:tabs>
        <w:kinsoku/>
        <w:wordWrap/>
        <w:overflowPunct/>
        <w:topLinePunct w:val="0"/>
        <w:autoSpaceDE/>
        <w:autoSpaceDN/>
        <w:bidi w:val="0"/>
        <w:spacing w:line="470" w:lineRule="exact"/>
        <w:ind w:left="105" w:leftChars="5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附件十：入场作业安全承诺书</w:t>
      </w:r>
    </w:p>
    <w:p w14:paraId="4C142A81">
      <w:pPr>
        <w:keepNext w:val="0"/>
        <w:keepLines w:val="0"/>
        <w:pageBreakBefore w:val="0"/>
        <w:tabs>
          <w:tab w:val="left" w:pos="405"/>
        </w:tabs>
        <w:kinsoku/>
        <w:wordWrap/>
        <w:overflowPunct/>
        <w:topLinePunct w:val="0"/>
        <w:autoSpaceDE/>
        <w:autoSpaceDN/>
        <w:bidi w:val="0"/>
        <w:spacing w:line="470" w:lineRule="exact"/>
        <w:ind w:left="405" w:hanging="405"/>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     （合同正文结束）</w:t>
      </w:r>
    </w:p>
    <w:p w14:paraId="62104315">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color w:val="auto"/>
          <w:kern w:val="0"/>
          <w:sz w:val="30"/>
          <w:szCs w:val="30"/>
        </w:rPr>
      </w:pPr>
      <w:r>
        <w:rPr>
          <w:rFonts w:ascii="仿宋" w:hAnsi="仿宋" w:eastAsia="仿宋"/>
          <w:color w:val="auto"/>
          <w:kern w:val="0"/>
          <w:sz w:val="30"/>
          <w:szCs w:val="30"/>
        </w:rPr>
        <w:br w:type="page"/>
      </w:r>
      <w:r>
        <w:rPr>
          <w:rFonts w:hint="eastAsia" w:ascii="仿宋" w:hAnsi="仿宋" w:eastAsia="仿宋"/>
          <w:color w:val="auto"/>
          <w:kern w:val="0"/>
          <w:sz w:val="30"/>
          <w:szCs w:val="30"/>
        </w:rPr>
        <w:t>（本页为合同签字页，无正文）</w:t>
      </w:r>
    </w:p>
    <w:p w14:paraId="041525DF">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color w:val="auto"/>
          <w:kern w:val="0"/>
          <w:sz w:val="30"/>
          <w:szCs w:val="30"/>
        </w:rPr>
      </w:pPr>
    </w:p>
    <w:p w14:paraId="120CE816">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甲方（盖章）：                            乙方（盖章）：    </w:t>
      </w:r>
    </w:p>
    <w:p w14:paraId="0BFB19C9">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授权代表（签名）：                        授权代表（签名）：                                                                 </w:t>
      </w:r>
    </w:p>
    <w:p w14:paraId="3BDDD697">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电  话：                                  电  话： </w:t>
      </w:r>
    </w:p>
    <w:p w14:paraId="3AF50B71">
      <w:pPr>
        <w:keepNext w:val="0"/>
        <w:keepLines w:val="0"/>
        <w:pageBreakBefore w:val="0"/>
        <w:widowControl/>
        <w:kinsoku/>
        <w:wordWrap/>
        <w:overflowPunct/>
        <w:topLinePunct w:val="0"/>
        <w:autoSpaceDE/>
        <w:autoSpaceDN/>
        <w:bidi w:val="0"/>
        <w:snapToGrid w:val="0"/>
        <w:spacing w:line="470" w:lineRule="exact"/>
        <w:textAlignment w:val="auto"/>
        <w:rPr>
          <w:rFonts w:ascii="仿宋" w:hAnsi="仿宋" w:eastAsia="仿宋"/>
          <w:color w:val="auto"/>
          <w:kern w:val="0"/>
          <w:sz w:val="30"/>
          <w:szCs w:val="30"/>
        </w:rPr>
      </w:pPr>
      <w:r>
        <w:rPr>
          <w:rFonts w:hint="eastAsia" w:ascii="仿宋" w:hAnsi="仿宋" w:eastAsia="仿宋"/>
          <w:color w:val="auto"/>
          <w:kern w:val="0"/>
          <w:sz w:val="30"/>
          <w:szCs w:val="30"/>
        </w:rPr>
        <w:t>年   月  日                              年   月    日</w:t>
      </w:r>
    </w:p>
    <w:p w14:paraId="3172C30F">
      <w:pPr>
        <w:keepNext w:val="0"/>
        <w:keepLines w:val="0"/>
        <w:pageBreakBefore w:val="0"/>
        <w:kinsoku/>
        <w:wordWrap/>
        <w:overflowPunct/>
        <w:topLinePunct w:val="0"/>
        <w:bidi w:val="0"/>
        <w:snapToGrid w:val="0"/>
        <w:spacing w:line="480" w:lineRule="exact"/>
        <w:textAlignment w:val="auto"/>
        <w:rPr>
          <w:rFonts w:ascii="仿宋" w:hAnsi="仿宋" w:eastAsia="仿宋"/>
          <w:b/>
          <w:bCs/>
          <w:color w:val="auto"/>
          <w:sz w:val="30"/>
          <w:szCs w:val="30"/>
        </w:rPr>
      </w:pPr>
      <w:r>
        <w:rPr>
          <w:rFonts w:ascii="仿宋" w:hAnsi="仿宋" w:eastAsia="仿宋"/>
          <w:b/>
          <w:bCs/>
          <w:color w:val="auto"/>
          <w:sz w:val="30"/>
          <w:szCs w:val="30"/>
        </w:rPr>
        <w:br w:type="page"/>
      </w:r>
      <w:r>
        <w:rPr>
          <w:rFonts w:hint="eastAsia" w:ascii="仿宋" w:hAnsi="仿宋" w:eastAsia="仿宋"/>
          <w:b/>
          <w:bCs/>
          <w:color w:val="auto"/>
          <w:sz w:val="30"/>
          <w:szCs w:val="30"/>
        </w:rPr>
        <w:t>附件一：维护保养标准</w:t>
      </w:r>
    </w:p>
    <w:p w14:paraId="7B359294">
      <w:pPr>
        <w:spacing w:line="520" w:lineRule="exact"/>
        <w:ind w:firstLine="600" w:firstLineChars="200"/>
        <w:jc w:val="center"/>
        <w:rPr>
          <w:rFonts w:ascii="仿宋" w:hAnsi="仿宋" w:eastAsia="仿宋"/>
          <w:color w:val="auto"/>
          <w:sz w:val="30"/>
          <w:szCs w:val="30"/>
        </w:rPr>
      </w:pPr>
      <w:r>
        <w:rPr>
          <w:rFonts w:hint="eastAsia" w:ascii="仿宋" w:hAnsi="仿宋" w:eastAsia="仿宋"/>
          <w:color w:val="auto"/>
          <w:sz w:val="30"/>
          <w:szCs w:val="30"/>
        </w:rPr>
        <w:t>维护保养标准</w:t>
      </w:r>
    </w:p>
    <w:p w14:paraId="544DF71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一、巡查</w:t>
      </w:r>
    </w:p>
    <w:p w14:paraId="2F7D9889">
      <w:pPr>
        <w:spacing w:line="520" w:lineRule="exact"/>
        <w:ind w:firstLine="600" w:firstLineChars="200"/>
        <w:rPr>
          <w:rFonts w:ascii="仿宋" w:hAnsi="仿宋" w:eastAsia="仿宋"/>
          <w:bCs/>
          <w:color w:val="auto"/>
          <w:sz w:val="30"/>
          <w:szCs w:val="30"/>
        </w:rPr>
      </w:pPr>
      <w:r>
        <w:rPr>
          <w:rFonts w:hint="eastAsia" w:ascii="仿宋" w:hAnsi="仿宋" w:eastAsia="仿宋"/>
          <w:bCs/>
          <w:color w:val="auto"/>
          <w:sz w:val="30"/>
          <w:szCs w:val="30"/>
        </w:rPr>
        <w:t>（一） 一般要求</w:t>
      </w:r>
    </w:p>
    <w:p w14:paraId="2E5E798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1、甲方管理红线范围内的消防设施设备的巡查由外委消防维保单位（乙方）负责，甲方各物业服务中心服务、秩序人员有义务协助日常巡查，发现问题及时报外委消防单位（乙方）处理。</w:t>
      </w:r>
    </w:p>
    <w:p w14:paraId="3521B91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2、从事消防设施设备巡查的人员，应通过消防行业特有工种职业技能鉴定，持有初级技能以上等级的职业资格证书。</w:t>
      </w:r>
    </w:p>
    <w:p w14:paraId="5F53FF9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3、消防设施设备巡查应明确各类消防设施设备的巡查部位、频次和内容；巡查时应填写《消防设施设备巡查记录表》；巡查时发现故障，应按本指引3要求处理。</w:t>
      </w:r>
    </w:p>
    <w:p w14:paraId="2F2DED0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4、消防设施设备巡查频次应满足下列要求：</w:t>
      </w:r>
    </w:p>
    <w:p w14:paraId="161C210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(1)基础、通用类每月至少巡查一次。</w:t>
      </w:r>
    </w:p>
    <w:p w14:paraId="3F1975D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(2)火灾报警探测器和手动报警按钮的报警功能的检查数量每月不少于总数的10%；年度覆盖全部设施。</w:t>
      </w:r>
    </w:p>
    <w:p w14:paraId="5B1B7FA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(3)末端试水装置放水检查数量每月不少于总数量的10%；年度覆盖全部设施。</w:t>
      </w:r>
    </w:p>
    <w:p w14:paraId="1FC4F89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(4)消火栓启泵按钮，系统功能检查，检查数量每月不少于总数量的10%；年度覆盖全部设施。</w:t>
      </w:r>
    </w:p>
    <w:p w14:paraId="6C7E291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(5)灭火器检查，检查数量每月不少于总数量的10%；年度覆盖全部设施。</w:t>
      </w:r>
    </w:p>
    <w:p w14:paraId="006406B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(6)其他设备功能检查每月必须检查一次。</w:t>
      </w:r>
    </w:p>
    <w:p w14:paraId="57093B0F">
      <w:pPr>
        <w:spacing w:before="156" w:beforeLines="50" w:after="156" w:afterLines="50" w:line="520" w:lineRule="exact"/>
        <w:rPr>
          <w:rFonts w:ascii="仿宋" w:hAnsi="仿宋" w:eastAsia="仿宋"/>
          <w:bCs/>
          <w:color w:val="auto"/>
          <w:sz w:val="30"/>
          <w:szCs w:val="30"/>
        </w:rPr>
      </w:pPr>
    </w:p>
    <w:p w14:paraId="2A55FF84">
      <w:pPr>
        <w:spacing w:before="156" w:beforeLines="50" w:after="156" w:afterLines="50" w:line="520" w:lineRule="exact"/>
        <w:rPr>
          <w:rFonts w:ascii="仿宋" w:hAnsi="仿宋" w:eastAsia="仿宋"/>
          <w:bCs/>
          <w:color w:val="auto"/>
          <w:sz w:val="30"/>
          <w:szCs w:val="30"/>
        </w:rPr>
      </w:pPr>
    </w:p>
    <w:p w14:paraId="21455317">
      <w:pPr>
        <w:spacing w:before="156" w:beforeLines="50" w:after="156" w:afterLines="50" w:line="520" w:lineRule="exact"/>
        <w:rPr>
          <w:rFonts w:ascii="仿宋" w:hAnsi="仿宋" w:eastAsia="仿宋"/>
          <w:bCs/>
          <w:color w:val="auto"/>
          <w:sz w:val="30"/>
          <w:szCs w:val="30"/>
        </w:rPr>
      </w:pPr>
      <w:r>
        <w:rPr>
          <w:rFonts w:hint="eastAsia" w:ascii="仿宋" w:hAnsi="仿宋" w:eastAsia="仿宋"/>
          <w:bCs/>
          <w:color w:val="auto"/>
          <w:sz w:val="30"/>
          <w:szCs w:val="30"/>
        </w:rPr>
        <w:t>（二）巡查内容</w:t>
      </w:r>
    </w:p>
    <w:tbl>
      <w:tblPr>
        <w:tblStyle w:val="8"/>
        <w:tblW w:w="9015" w:type="dxa"/>
        <w:tblInd w:w="-22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0"/>
        <w:gridCol w:w="1485"/>
        <w:gridCol w:w="6960"/>
      </w:tblGrid>
      <w:tr w14:paraId="1417BA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0BC46459">
            <w:pPr>
              <w:spacing w:line="520" w:lineRule="exact"/>
              <w:jc w:val="center"/>
              <w:rPr>
                <w:rFonts w:ascii="仿宋" w:hAnsi="仿宋" w:eastAsia="仿宋"/>
                <w:color w:val="auto"/>
                <w:sz w:val="30"/>
                <w:szCs w:val="30"/>
              </w:rPr>
            </w:pPr>
            <w:r>
              <w:rPr>
                <w:rFonts w:hint="eastAsia" w:ascii="仿宋" w:hAnsi="仿宋" w:eastAsia="仿宋"/>
                <w:color w:val="auto"/>
                <w:sz w:val="30"/>
                <w:szCs w:val="30"/>
              </w:rPr>
              <w:t>序号</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13D24802">
            <w:pPr>
              <w:spacing w:line="520" w:lineRule="exact"/>
              <w:jc w:val="center"/>
              <w:rPr>
                <w:rFonts w:ascii="仿宋" w:hAnsi="仿宋" w:eastAsia="仿宋"/>
                <w:color w:val="auto"/>
                <w:sz w:val="30"/>
                <w:szCs w:val="30"/>
              </w:rPr>
            </w:pPr>
            <w:r>
              <w:rPr>
                <w:rFonts w:hint="eastAsia" w:ascii="仿宋" w:hAnsi="仿宋" w:eastAsia="仿宋"/>
                <w:color w:val="auto"/>
                <w:sz w:val="30"/>
                <w:szCs w:val="30"/>
              </w:rPr>
              <w:t>巡查项目</w:t>
            </w:r>
          </w:p>
        </w:tc>
        <w:tc>
          <w:tcPr>
            <w:tcW w:w="6960" w:type="dxa"/>
            <w:vMerge w:val="restart"/>
            <w:tcBorders>
              <w:top w:val="single" w:color="auto" w:sz="6" w:space="0"/>
              <w:left w:val="single" w:color="auto" w:sz="6" w:space="0"/>
              <w:bottom w:val="single" w:color="auto" w:sz="6" w:space="0"/>
              <w:right w:val="single" w:color="auto" w:sz="6" w:space="0"/>
            </w:tcBorders>
            <w:vAlign w:val="center"/>
          </w:tcPr>
          <w:p w14:paraId="0A70939E">
            <w:pPr>
              <w:spacing w:line="520" w:lineRule="exact"/>
              <w:jc w:val="center"/>
              <w:rPr>
                <w:rFonts w:ascii="仿宋" w:hAnsi="仿宋" w:eastAsia="仿宋"/>
                <w:color w:val="auto"/>
                <w:sz w:val="30"/>
                <w:szCs w:val="30"/>
              </w:rPr>
            </w:pPr>
            <w:r>
              <w:rPr>
                <w:rFonts w:hint="eastAsia" w:ascii="仿宋" w:hAnsi="仿宋" w:eastAsia="仿宋"/>
                <w:color w:val="auto"/>
                <w:sz w:val="30"/>
                <w:szCs w:val="30"/>
              </w:rPr>
              <w:t>巡查要求</w:t>
            </w:r>
          </w:p>
        </w:tc>
      </w:tr>
      <w:tr w14:paraId="76F3B1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47D6CF7">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A3BB6CD">
            <w:pPr>
              <w:widowControl/>
              <w:spacing w:line="520" w:lineRule="exact"/>
              <w:jc w:val="left"/>
              <w:rPr>
                <w:rFonts w:ascii="仿宋" w:hAnsi="仿宋" w:eastAsia="仿宋"/>
                <w:color w:val="auto"/>
                <w:sz w:val="30"/>
                <w:szCs w:val="30"/>
              </w:rPr>
            </w:pPr>
          </w:p>
        </w:tc>
        <w:tc>
          <w:tcPr>
            <w:tcW w:w="6960" w:type="dxa"/>
            <w:vMerge w:val="continue"/>
            <w:tcBorders>
              <w:top w:val="single" w:color="auto" w:sz="6" w:space="0"/>
              <w:left w:val="single" w:color="auto" w:sz="6" w:space="0"/>
              <w:bottom w:val="single" w:color="auto" w:sz="6" w:space="0"/>
              <w:right w:val="single" w:color="auto" w:sz="6" w:space="0"/>
            </w:tcBorders>
            <w:vAlign w:val="center"/>
          </w:tcPr>
          <w:p w14:paraId="10BEE359">
            <w:pPr>
              <w:widowControl/>
              <w:spacing w:line="520" w:lineRule="exact"/>
              <w:jc w:val="left"/>
              <w:rPr>
                <w:rFonts w:ascii="仿宋" w:hAnsi="仿宋" w:eastAsia="仿宋"/>
                <w:color w:val="auto"/>
                <w:sz w:val="30"/>
                <w:szCs w:val="30"/>
              </w:rPr>
            </w:pPr>
          </w:p>
        </w:tc>
      </w:tr>
      <w:tr w14:paraId="58345C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7A203D94">
            <w:pPr>
              <w:spacing w:line="520" w:lineRule="exact"/>
              <w:jc w:val="center"/>
              <w:rPr>
                <w:rFonts w:ascii="仿宋" w:hAnsi="仿宋" w:eastAsia="仿宋"/>
                <w:color w:val="auto"/>
                <w:sz w:val="30"/>
                <w:szCs w:val="30"/>
              </w:rPr>
            </w:pPr>
            <w:r>
              <w:rPr>
                <w:rFonts w:hint="eastAsia" w:ascii="仿宋" w:hAnsi="仿宋" w:eastAsia="仿宋"/>
                <w:color w:val="auto"/>
                <w:sz w:val="30"/>
                <w:szCs w:val="30"/>
              </w:rPr>
              <w:t>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1E917952">
            <w:pPr>
              <w:spacing w:line="520" w:lineRule="exact"/>
              <w:jc w:val="center"/>
              <w:rPr>
                <w:rFonts w:ascii="仿宋" w:hAnsi="仿宋" w:eastAsia="仿宋"/>
                <w:color w:val="auto"/>
                <w:sz w:val="30"/>
                <w:szCs w:val="30"/>
              </w:rPr>
            </w:pPr>
            <w:r>
              <w:rPr>
                <w:rFonts w:hint="eastAsia" w:ascii="仿宋" w:hAnsi="仿宋" w:eastAsia="仿宋"/>
                <w:color w:val="auto"/>
                <w:sz w:val="30"/>
                <w:szCs w:val="30"/>
              </w:rPr>
              <w:t>消防供配电设施</w:t>
            </w:r>
          </w:p>
        </w:tc>
        <w:tc>
          <w:tcPr>
            <w:tcW w:w="6960" w:type="dxa"/>
            <w:tcBorders>
              <w:top w:val="single" w:color="auto" w:sz="6" w:space="0"/>
              <w:left w:val="single" w:color="auto" w:sz="6" w:space="0"/>
              <w:bottom w:val="single" w:color="auto" w:sz="6" w:space="0"/>
              <w:right w:val="single" w:color="auto" w:sz="6" w:space="0"/>
            </w:tcBorders>
            <w:vAlign w:val="center"/>
          </w:tcPr>
          <w:p w14:paraId="15BAB7DA">
            <w:pPr>
              <w:spacing w:line="520" w:lineRule="exact"/>
              <w:rPr>
                <w:rFonts w:ascii="仿宋" w:hAnsi="仿宋" w:eastAsia="仿宋"/>
                <w:color w:val="auto"/>
                <w:sz w:val="30"/>
                <w:szCs w:val="30"/>
              </w:rPr>
            </w:pPr>
            <w:r>
              <w:rPr>
                <w:rFonts w:hint="eastAsia" w:ascii="仿宋" w:hAnsi="仿宋" w:eastAsia="仿宋"/>
                <w:color w:val="auto"/>
                <w:sz w:val="30"/>
                <w:szCs w:val="30"/>
              </w:rPr>
              <w:t>消防电源主电源、备用电源工作正常</w:t>
            </w:r>
          </w:p>
        </w:tc>
      </w:tr>
      <w:tr w14:paraId="7AAB0E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4FBE363">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1413666">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7357B38">
            <w:pPr>
              <w:spacing w:line="520" w:lineRule="exact"/>
              <w:rPr>
                <w:rFonts w:ascii="仿宋" w:hAnsi="仿宋" w:eastAsia="仿宋"/>
                <w:color w:val="auto"/>
                <w:sz w:val="30"/>
                <w:szCs w:val="30"/>
              </w:rPr>
            </w:pPr>
            <w:r>
              <w:rPr>
                <w:rFonts w:hint="eastAsia" w:ascii="仿宋" w:hAnsi="仿宋" w:eastAsia="仿宋"/>
                <w:color w:val="auto"/>
                <w:sz w:val="30"/>
                <w:szCs w:val="30"/>
              </w:rPr>
              <w:t>发电机启动装置外观良好，工作正常、发电机燃料储量在4—8小时、储油间环境通风正常</w:t>
            </w:r>
          </w:p>
        </w:tc>
      </w:tr>
      <w:tr w14:paraId="59A63A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7546CFA">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0BE67552">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C0A2D98">
            <w:pPr>
              <w:spacing w:line="520" w:lineRule="exact"/>
              <w:rPr>
                <w:rFonts w:ascii="仿宋" w:hAnsi="仿宋" w:eastAsia="仿宋"/>
                <w:color w:val="auto"/>
                <w:sz w:val="30"/>
                <w:szCs w:val="30"/>
              </w:rPr>
            </w:pPr>
            <w:r>
              <w:rPr>
                <w:rFonts w:hint="eastAsia" w:ascii="仿宋" w:hAnsi="仿宋" w:eastAsia="仿宋"/>
                <w:color w:val="auto"/>
                <w:sz w:val="30"/>
                <w:szCs w:val="30"/>
              </w:rPr>
              <w:t>消防应急柜工作正常</w:t>
            </w:r>
          </w:p>
        </w:tc>
      </w:tr>
      <w:tr w14:paraId="5B76A9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11306D3">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94E638C">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490C615">
            <w:pPr>
              <w:spacing w:line="520" w:lineRule="exact"/>
              <w:rPr>
                <w:rFonts w:ascii="仿宋" w:hAnsi="仿宋" w:eastAsia="仿宋"/>
                <w:color w:val="auto"/>
                <w:sz w:val="30"/>
                <w:szCs w:val="30"/>
              </w:rPr>
            </w:pPr>
            <w:r>
              <w:rPr>
                <w:rFonts w:hint="eastAsia" w:ascii="仿宋" w:hAnsi="仿宋" w:eastAsia="仿宋"/>
                <w:color w:val="auto"/>
                <w:sz w:val="30"/>
                <w:szCs w:val="30"/>
              </w:rPr>
              <w:t>消防设备末端配电箱切换装置工作正常</w:t>
            </w:r>
          </w:p>
        </w:tc>
      </w:tr>
      <w:tr w14:paraId="64CB3A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5AFB6C91">
            <w:pPr>
              <w:spacing w:line="520" w:lineRule="exact"/>
              <w:jc w:val="center"/>
              <w:rPr>
                <w:rFonts w:ascii="仿宋" w:hAnsi="仿宋" w:eastAsia="仿宋"/>
                <w:color w:val="auto"/>
                <w:sz w:val="30"/>
                <w:szCs w:val="30"/>
              </w:rPr>
            </w:pPr>
            <w:r>
              <w:rPr>
                <w:rFonts w:hint="eastAsia" w:ascii="仿宋" w:hAnsi="仿宋" w:eastAsia="仿宋"/>
                <w:color w:val="auto"/>
                <w:sz w:val="30"/>
                <w:szCs w:val="30"/>
              </w:rPr>
              <w:t>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46051B92">
            <w:pPr>
              <w:spacing w:line="520" w:lineRule="exact"/>
              <w:jc w:val="center"/>
              <w:rPr>
                <w:rFonts w:ascii="仿宋" w:hAnsi="仿宋" w:eastAsia="仿宋"/>
                <w:color w:val="auto"/>
                <w:sz w:val="30"/>
                <w:szCs w:val="30"/>
              </w:rPr>
            </w:pPr>
            <w:r>
              <w:rPr>
                <w:rFonts w:hint="eastAsia" w:ascii="仿宋" w:hAnsi="仿宋" w:eastAsia="仿宋"/>
                <w:color w:val="auto"/>
                <w:sz w:val="30"/>
                <w:szCs w:val="30"/>
              </w:rPr>
              <w:t>火灾自动报警</w:t>
            </w:r>
          </w:p>
          <w:p w14:paraId="431E2C0D">
            <w:pPr>
              <w:spacing w:line="520" w:lineRule="exact"/>
              <w:jc w:val="center"/>
              <w:rPr>
                <w:rFonts w:ascii="仿宋" w:hAnsi="仿宋" w:eastAsia="仿宋"/>
                <w:color w:val="auto"/>
                <w:sz w:val="30"/>
                <w:szCs w:val="30"/>
              </w:rPr>
            </w:pPr>
            <w:r>
              <w:rPr>
                <w:rFonts w:hint="eastAsia" w:ascii="仿宋" w:hAnsi="仿宋" w:eastAsia="仿宋"/>
                <w:color w:val="auto"/>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14:paraId="403AA6D3">
            <w:pPr>
              <w:spacing w:line="520" w:lineRule="exact"/>
              <w:rPr>
                <w:rFonts w:ascii="仿宋" w:hAnsi="仿宋" w:eastAsia="仿宋"/>
                <w:color w:val="auto"/>
                <w:sz w:val="30"/>
                <w:szCs w:val="30"/>
              </w:rPr>
            </w:pPr>
            <w:r>
              <w:rPr>
                <w:rFonts w:hint="eastAsia" w:ascii="仿宋" w:hAnsi="仿宋" w:eastAsia="仿宋"/>
                <w:color w:val="auto"/>
                <w:sz w:val="30"/>
                <w:szCs w:val="30"/>
              </w:rPr>
              <w:t>火灾探测器、手动报警按钮、信号输入模块、输出模块外观良好，运行正常</w:t>
            </w:r>
          </w:p>
        </w:tc>
      </w:tr>
      <w:tr w14:paraId="78D52F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2798664">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36B1BBF">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45CF6DC">
            <w:pPr>
              <w:spacing w:line="520" w:lineRule="exact"/>
              <w:rPr>
                <w:rFonts w:ascii="仿宋" w:hAnsi="仿宋" w:eastAsia="仿宋"/>
                <w:color w:val="auto"/>
                <w:sz w:val="30"/>
                <w:szCs w:val="30"/>
              </w:rPr>
            </w:pPr>
            <w:r>
              <w:rPr>
                <w:rFonts w:hint="eastAsia" w:ascii="仿宋" w:hAnsi="仿宋" w:eastAsia="仿宋"/>
                <w:color w:val="auto"/>
                <w:sz w:val="30"/>
                <w:szCs w:val="30"/>
              </w:rPr>
              <w:t>火灾报警控制器、火灾显示器、CRT图形显示器运行正常</w:t>
            </w:r>
          </w:p>
        </w:tc>
      </w:tr>
      <w:tr w14:paraId="375C1B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FBDB1A2">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004C794F">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1A8C02A">
            <w:pPr>
              <w:spacing w:line="520" w:lineRule="exact"/>
              <w:rPr>
                <w:rFonts w:ascii="仿宋" w:hAnsi="仿宋" w:eastAsia="仿宋"/>
                <w:color w:val="auto"/>
                <w:sz w:val="30"/>
                <w:szCs w:val="30"/>
              </w:rPr>
            </w:pPr>
            <w:r>
              <w:rPr>
                <w:rFonts w:hint="eastAsia" w:ascii="仿宋" w:hAnsi="仿宋" w:eastAsia="仿宋"/>
                <w:color w:val="auto"/>
                <w:sz w:val="30"/>
                <w:szCs w:val="30"/>
              </w:rPr>
              <w:t>消防联动控制器外观及运行正常</w:t>
            </w:r>
          </w:p>
        </w:tc>
      </w:tr>
      <w:tr w14:paraId="65843F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609F2B4">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5D7A5BC">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54E0018">
            <w:pPr>
              <w:spacing w:line="520" w:lineRule="exact"/>
              <w:rPr>
                <w:rFonts w:ascii="仿宋" w:hAnsi="仿宋" w:eastAsia="仿宋"/>
                <w:color w:val="auto"/>
                <w:sz w:val="30"/>
                <w:szCs w:val="30"/>
              </w:rPr>
            </w:pPr>
            <w:r>
              <w:rPr>
                <w:rFonts w:hint="eastAsia" w:ascii="仿宋" w:hAnsi="仿宋" w:eastAsia="仿宋"/>
                <w:color w:val="auto"/>
                <w:sz w:val="30"/>
                <w:szCs w:val="30"/>
              </w:rPr>
              <w:t>火灾报警装置外观良好，运行正常</w:t>
            </w:r>
          </w:p>
        </w:tc>
      </w:tr>
      <w:tr w14:paraId="784934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2A7341E">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2FF994A0">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3E0E755">
            <w:pPr>
              <w:spacing w:line="520" w:lineRule="exact"/>
              <w:rPr>
                <w:rFonts w:ascii="仿宋" w:hAnsi="仿宋" w:eastAsia="仿宋"/>
                <w:color w:val="auto"/>
                <w:sz w:val="30"/>
                <w:szCs w:val="30"/>
              </w:rPr>
            </w:pPr>
            <w:r>
              <w:rPr>
                <w:rFonts w:hint="eastAsia" w:ascii="仿宋" w:hAnsi="仿宋" w:eastAsia="仿宋"/>
                <w:color w:val="auto"/>
                <w:sz w:val="30"/>
                <w:szCs w:val="30"/>
              </w:rPr>
              <w:t>建筑消防设施远程监控、信息显示、信息传输装置外观良好，运行正常</w:t>
            </w:r>
          </w:p>
        </w:tc>
      </w:tr>
      <w:tr w14:paraId="498712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4A0A0F14">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0EF4B6C">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0014D66">
            <w:pPr>
              <w:spacing w:line="520" w:lineRule="exact"/>
              <w:rPr>
                <w:rFonts w:ascii="仿宋" w:hAnsi="仿宋" w:eastAsia="仿宋"/>
                <w:color w:val="auto"/>
                <w:sz w:val="30"/>
                <w:szCs w:val="30"/>
              </w:rPr>
            </w:pPr>
            <w:r>
              <w:rPr>
                <w:rFonts w:hint="eastAsia" w:ascii="仿宋" w:hAnsi="仿宋" w:eastAsia="仿宋"/>
                <w:color w:val="auto"/>
                <w:sz w:val="30"/>
                <w:szCs w:val="30"/>
              </w:rPr>
              <w:t>系统接地装置外观良好</w:t>
            </w:r>
          </w:p>
        </w:tc>
      </w:tr>
      <w:tr w14:paraId="02E518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703C32ED">
            <w:pPr>
              <w:spacing w:line="520" w:lineRule="exact"/>
              <w:jc w:val="center"/>
              <w:rPr>
                <w:rFonts w:ascii="仿宋" w:hAnsi="仿宋" w:eastAsia="仿宋"/>
                <w:color w:val="auto"/>
                <w:sz w:val="30"/>
                <w:szCs w:val="30"/>
              </w:rPr>
            </w:pPr>
            <w:r>
              <w:rPr>
                <w:rFonts w:hint="eastAsia" w:ascii="仿宋" w:hAnsi="仿宋" w:eastAsia="仿宋"/>
                <w:color w:val="auto"/>
                <w:sz w:val="30"/>
                <w:szCs w:val="30"/>
              </w:rPr>
              <w:t>3</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7A035459">
            <w:pPr>
              <w:spacing w:line="520" w:lineRule="exact"/>
              <w:jc w:val="center"/>
              <w:rPr>
                <w:rFonts w:ascii="仿宋" w:hAnsi="仿宋" w:eastAsia="仿宋"/>
                <w:color w:val="auto"/>
                <w:sz w:val="30"/>
                <w:szCs w:val="30"/>
              </w:rPr>
            </w:pPr>
            <w:r>
              <w:rPr>
                <w:rFonts w:hint="eastAsia" w:ascii="仿宋" w:hAnsi="仿宋" w:eastAsia="仿宋"/>
                <w:color w:val="auto"/>
                <w:sz w:val="30"/>
                <w:szCs w:val="30"/>
              </w:rPr>
              <w:t>电气火灾监控</w:t>
            </w:r>
          </w:p>
          <w:p w14:paraId="5C94E750">
            <w:pPr>
              <w:spacing w:line="520" w:lineRule="exact"/>
              <w:jc w:val="center"/>
              <w:rPr>
                <w:rFonts w:ascii="仿宋" w:hAnsi="仿宋" w:eastAsia="仿宋"/>
                <w:color w:val="auto"/>
                <w:sz w:val="30"/>
                <w:szCs w:val="30"/>
              </w:rPr>
            </w:pPr>
            <w:r>
              <w:rPr>
                <w:rFonts w:hint="eastAsia" w:ascii="仿宋" w:hAnsi="仿宋" w:eastAsia="仿宋"/>
                <w:color w:val="auto"/>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14:paraId="562AABAC">
            <w:pPr>
              <w:spacing w:line="520" w:lineRule="exact"/>
              <w:rPr>
                <w:rFonts w:ascii="仿宋" w:hAnsi="仿宋" w:eastAsia="仿宋"/>
                <w:color w:val="auto"/>
                <w:sz w:val="30"/>
                <w:szCs w:val="30"/>
              </w:rPr>
            </w:pPr>
            <w:r>
              <w:rPr>
                <w:rFonts w:hint="eastAsia" w:ascii="仿宋" w:hAnsi="仿宋" w:eastAsia="仿宋"/>
                <w:color w:val="auto"/>
                <w:sz w:val="30"/>
                <w:szCs w:val="30"/>
              </w:rPr>
              <w:t>电气火灾监控探测器的外观良好，运行正常</w:t>
            </w:r>
          </w:p>
        </w:tc>
      </w:tr>
      <w:tr w14:paraId="3DF093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54A0582">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94A284A">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384A7B0">
            <w:pPr>
              <w:spacing w:line="520" w:lineRule="exact"/>
              <w:rPr>
                <w:rFonts w:ascii="仿宋" w:hAnsi="仿宋" w:eastAsia="仿宋"/>
                <w:color w:val="auto"/>
                <w:sz w:val="30"/>
                <w:szCs w:val="30"/>
              </w:rPr>
            </w:pPr>
            <w:r>
              <w:rPr>
                <w:rFonts w:hint="eastAsia" w:ascii="仿宋" w:hAnsi="仿宋" w:eastAsia="仿宋"/>
                <w:color w:val="auto"/>
                <w:sz w:val="30"/>
                <w:szCs w:val="30"/>
              </w:rPr>
              <w:t>报警主机外观良好，运行正常</w:t>
            </w:r>
          </w:p>
        </w:tc>
      </w:tr>
      <w:tr w14:paraId="07452B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3707D04A">
            <w:pPr>
              <w:spacing w:line="520" w:lineRule="exact"/>
              <w:jc w:val="center"/>
              <w:rPr>
                <w:rFonts w:ascii="仿宋" w:hAnsi="仿宋" w:eastAsia="仿宋"/>
                <w:color w:val="auto"/>
                <w:sz w:val="30"/>
                <w:szCs w:val="30"/>
              </w:rPr>
            </w:pPr>
            <w:r>
              <w:rPr>
                <w:rFonts w:hint="eastAsia" w:ascii="仿宋" w:hAnsi="仿宋" w:eastAsia="仿宋"/>
                <w:color w:val="auto"/>
                <w:sz w:val="30"/>
                <w:szCs w:val="30"/>
              </w:rPr>
              <w:t>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06839582">
            <w:pPr>
              <w:spacing w:line="520" w:lineRule="exact"/>
              <w:jc w:val="center"/>
              <w:rPr>
                <w:rFonts w:ascii="仿宋" w:hAnsi="仿宋" w:eastAsia="仿宋"/>
                <w:color w:val="auto"/>
                <w:sz w:val="30"/>
                <w:szCs w:val="30"/>
              </w:rPr>
            </w:pPr>
            <w:r>
              <w:rPr>
                <w:rFonts w:hint="eastAsia" w:ascii="仿宋" w:hAnsi="仿宋" w:eastAsia="仿宋"/>
                <w:color w:val="auto"/>
                <w:sz w:val="30"/>
                <w:szCs w:val="30"/>
              </w:rPr>
              <w:t>可燃气体探测</w:t>
            </w:r>
          </w:p>
          <w:p w14:paraId="16DCDE15">
            <w:pPr>
              <w:spacing w:line="520" w:lineRule="exact"/>
              <w:jc w:val="center"/>
              <w:rPr>
                <w:rFonts w:ascii="仿宋" w:hAnsi="仿宋" w:eastAsia="仿宋"/>
                <w:color w:val="auto"/>
                <w:sz w:val="30"/>
                <w:szCs w:val="30"/>
              </w:rPr>
            </w:pPr>
            <w:r>
              <w:rPr>
                <w:rFonts w:hint="eastAsia" w:ascii="仿宋" w:hAnsi="仿宋" w:eastAsia="仿宋"/>
                <w:color w:val="auto"/>
                <w:sz w:val="30"/>
                <w:szCs w:val="30"/>
              </w:rPr>
              <w:t>报警系统</w:t>
            </w:r>
          </w:p>
        </w:tc>
        <w:tc>
          <w:tcPr>
            <w:tcW w:w="6960" w:type="dxa"/>
            <w:tcBorders>
              <w:top w:val="single" w:color="auto" w:sz="6" w:space="0"/>
              <w:left w:val="single" w:color="auto" w:sz="6" w:space="0"/>
              <w:bottom w:val="single" w:color="auto" w:sz="6" w:space="0"/>
              <w:right w:val="single" w:color="auto" w:sz="6" w:space="0"/>
            </w:tcBorders>
            <w:vAlign w:val="center"/>
          </w:tcPr>
          <w:p w14:paraId="6E7A0A81">
            <w:pPr>
              <w:spacing w:line="520" w:lineRule="exact"/>
              <w:rPr>
                <w:rFonts w:ascii="仿宋" w:hAnsi="仿宋" w:eastAsia="仿宋"/>
                <w:color w:val="auto"/>
                <w:sz w:val="30"/>
                <w:szCs w:val="30"/>
              </w:rPr>
            </w:pPr>
            <w:r>
              <w:rPr>
                <w:rFonts w:hint="eastAsia" w:ascii="仿宋" w:hAnsi="仿宋" w:eastAsia="仿宋"/>
                <w:color w:val="auto"/>
                <w:sz w:val="30"/>
                <w:szCs w:val="30"/>
              </w:rPr>
              <w:t>可燃气体探测器的外观良好，运行正常</w:t>
            </w:r>
          </w:p>
        </w:tc>
      </w:tr>
      <w:tr w14:paraId="0C35A2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2D89B89">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38E946E">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C58714E">
            <w:pPr>
              <w:spacing w:line="520" w:lineRule="exact"/>
              <w:rPr>
                <w:rFonts w:ascii="仿宋" w:hAnsi="仿宋" w:eastAsia="仿宋"/>
                <w:color w:val="auto"/>
                <w:sz w:val="30"/>
                <w:szCs w:val="30"/>
              </w:rPr>
            </w:pPr>
            <w:r>
              <w:rPr>
                <w:rFonts w:hint="eastAsia" w:ascii="仿宋" w:hAnsi="仿宋" w:eastAsia="仿宋"/>
                <w:color w:val="auto"/>
                <w:sz w:val="30"/>
                <w:szCs w:val="30"/>
              </w:rPr>
              <w:t>报警主机外观良好，运行正常</w:t>
            </w:r>
          </w:p>
        </w:tc>
      </w:tr>
      <w:tr w14:paraId="5AF40F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6"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05B139DB">
            <w:pPr>
              <w:spacing w:line="520" w:lineRule="exact"/>
              <w:jc w:val="center"/>
              <w:rPr>
                <w:rFonts w:ascii="仿宋" w:hAnsi="仿宋" w:eastAsia="仿宋"/>
                <w:color w:val="auto"/>
                <w:sz w:val="30"/>
                <w:szCs w:val="30"/>
              </w:rPr>
            </w:pPr>
            <w:r>
              <w:rPr>
                <w:rFonts w:hint="eastAsia" w:ascii="仿宋" w:hAnsi="仿宋" w:eastAsia="仿宋"/>
                <w:color w:val="auto"/>
                <w:sz w:val="30"/>
                <w:szCs w:val="30"/>
              </w:rPr>
              <w:t>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32EEA6ED">
            <w:pPr>
              <w:spacing w:line="520" w:lineRule="exact"/>
              <w:jc w:val="center"/>
              <w:rPr>
                <w:rFonts w:ascii="仿宋" w:hAnsi="仿宋" w:eastAsia="仿宋"/>
                <w:color w:val="auto"/>
                <w:sz w:val="30"/>
                <w:szCs w:val="30"/>
              </w:rPr>
            </w:pPr>
            <w:r>
              <w:rPr>
                <w:rFonts w:hint="eastAsia" w:ascii="仿宋" w:hAnsi="仿宋" w:eastAsia="仿宋"/>
                <w:color w:val="auto"/>
                <w:sz w:val="30"/>
                <w:szCs w:val="30"/>
              </w:rPr>
              <w:t>消防供水设施</w:t>
            </w:r>
          </w:p>
        </w:tc>
        <w:tc>
          <w:tcPr>
            <w:tcW w:w="6960" w:type="dxa"/>
            <w:tcBorders>
              <w:top w:val="single" w:color="auto" w:sz="6" w:space="0"/>
              <w:left w:val="single" w:color="auto" w:sz="6" w:space="0"/>
              <w:bottom w:val="single" w:color="auto" w:sz="6" w:space="0"/>
              <w:right w:val="single" w:color="auto" w:sz="6" w:space="0"/>
            </w:tcBorders>
            <w:vAlign w:val="center"/>
          </w:tcPr>
          <w:p w14:paraId="0AC89A98">
            <w:pPr>
              <w:spacing w:line="520" w:lineRule="exact"/>
              <w:rPr>
                <w:rFonts w:ascii="仿宋" w:hAnsi="仿宋" w:eastAsia="仿宋"/>
                <w:color w:val="auto"/>
                <w:sz w:val="30"/>
                <w:szCs w:val="30"/>
              </w:rPr>
            </w:pPr>
            <w:r>
              <w:rPr>
                <w:rFonts w:hint="eastAsia" w:ascii="仿宋" w:hAnsi="仿宋" w:eastAsia="仿宋"/>
                <w:color w:val="auto"/>
                <w:sz w:val="30"/>
                <w:szCs w:val="30"/>
              </w:rPr>
              <w:t>消防水池、消防水箱外观，液位显示装置外观良好，运行正常；天然水源水位、水量、水质情况，进户管外观良好，运行正常</w:t>
            </w:r>
          </w:p>
        </w:tc>
      </w:tr>
      <w:tr w14:paraId="620B73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3"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3FB33EF">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6C28E9B">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8753339">
            <w:pPr>
              <w:spacing w:line="520" w:lineRule="exact"/>
              <w:rPr>
                <w:rFonts w:ascii="仿宋" w:hAnsi="仿宋" w:eastAsia="仿宋"/>
                <w:color w:val="auto"/>
                <w:sz w:val="30"/>
                <w:szCs w:val="30"/>
              </w:rPr>
            </w:pPr>
            <w:r>
              <w:rPr>
                <w:rFonts w:hint="eastAsia" w:ascii="仿宋" w:hAnsi="仿宋" w:eastAsia="仿宋"/>
                <w:color w:val="auto"/>
                <w:sz w:val="30"/>
                <w:szCs w:val="30"/>
              </w:rPr>
              <w:t>消防水泵及控制柜工作正常</w:t>
            </w:r>
          </w:p>
        </w:tc>
      </w:tr>
      <w:tr w14:paraId="534BD6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3B7C9F90">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CC0CEA9">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080D6E95">
            <w:pPr>
              <w:spacing w:line="520" w:lineRule="exact"/>
              <w:rPr>
                <w:rFonts w:ascii="仿宋" w:hAnsi="仿宋" w:eastAsia="仿宋"/>
                <w:color w:val="auto"/>
                <w:sz w:val="30"/>
                <w:szCs w:val="30"/>
              </w:rPr>
            </w:pPr>
            <w:r>
              <w:rPr>
                <w:rFonts w:hint="eastAsia" w:ascii="仿宋" w:hAnsi="仿宋" w:eastAsia="仿宋"/>
                <w:color w:val="auto"/>
                <w:sz w:val="30"/>
                <w:szCs w:val="30"/>
              </w:rPr>
              <w:t>稳压泵、增压泵、气压水罐及控制柜工作正常</w:t>
            </w:r>
          </w:p>
        </w:tc>
      </w:tr>
      <w:tr w14:paraId="700387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67A4D89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0CC873D">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4B42BC10">
            <w:pPr>
              <w:spacing w:line="520" w:lineRule="exact"/>
              <w:rPr>
                <w:rFonts w:ascii="仿宋" w:hAnsi="仿宋" w:eastAsia="仿宋"/>
                <w:color w:val="auto"/>
                <w:sz w:val="30"/>
                <w:szCs w:val="30"/>
              </w:rPr>
            </w:pPr>
            <w:r>
              <w:rPr>
                <w:rFonts w:hint="eastAsia" w:ascii="仿宋" w:hAnsi="仿宋" w:eastAsia="仿宋"/>
                <w:color w:val="auto"/>
                <w:sz w:val="30"/>
                <w:szCs w:val="30"/>
              </w:rPr>
              <w:t>水泵接合器外观良好、标识齐备</w:t>
            </w:r>
          </w:p>
        </w:tc>
      </w:tr>
      <w:tr w14:paraId="08E7C5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672EE02A">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363FDD4">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2D31021D">
            <w:pPr>
              <w:spacing w:line="520" w:lineRule="exact"/>
              <w:rPr>
                <w:rFonts w:ascii="仿宋" w:hAnsi="仿宋" w:eastAsia="仿宋"/>
                <w:color w:val="auto"/>
                <w:sz w:val="30"/>
                <w:szCs w:val="30"/>
              </w:rPr>
            </w:pPr>
            <w:r>
              <w:rPr>
                <w:rFonts w:hint="eastAsia" w:ascii="仿宋" w:hAnsi="仿宋" w:eastAsia="仿宋"/>
                <w:color w:val="auto"/>
                <w:sz w:val="30"/>
                <w:szCs w:val="30"/>
              </w:rPr>
              <w:t>系统减压、泄压装置、测试装置、压力表等外观良好，运行正常</w:t>
            </w:r>
          </w:p>
        </w:tc>
      </w:tr>
      <w:tr w14:paraId="412614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7AC895A7">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0320E44">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01ECB17A">
            <w:pPr>
              <w:spacing w:line="520" w:lineRule="exact"/>
              <w:rPr>
                <w:rFonts w:ascii="仿宋" w:hAnsi="仿宋" w:eastAsia="仿宋"/>
                <w:color w:val="auto"/>
                <w:sz w:val="30"/>
                <w:szCs w:val="30"/>
              </w:rPr>
            </w:pPr>
            <w:r>
              <w:rPr>
                <w:rFonts w:hint="eastAsia" w:ascii="仿宋" w:hAnsi="仿宋" w:eastAsia="仿宋"/>
                <w:color w:val="auto"/>
                <w:sz w:val="30"/>
                <w:szCs w:val="30"/>
              </w:rPr>
              <w:t>管网控制阀门启闭正常</w:t>
            </w:r>
          </w:p>
        </w:tc>
      </w:tr>
      <w:tr w14:paraId="38A562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068619E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FFBAACC">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7A927AC6">
            <w:pPr>
              <w:spacing w:line="520" w:lineRule="exact"/>
              <w:rPr>
                <w:rFonts w:ascii="仿宋" w:hAnsi="仿宋" w:eastAsia="仿宋"/>
                <w:color w:val="auto"/>
                <w:sz w:val="30"/>
                <w:szCs w:val="30"/>
              </w:rPr>
            </w:pPr>
            <w:r>
              <w:rPr>
                <w:rFonts w:hint="eastAsia" w:ascii="仿宋" w:hAnsi="仿宋" w:eastAsia="仿宋"/>
                <w:color w:val="auto"/>
                <w:sz w:val="30"/>
                <w:szCs w:val="30"/>
              </w:rPr>
              <w:t>泵房照明、排水等工作环境正常</w:t>
            </w:r>
          </w:p>
        </w:tc>
      </w:tr>
      <w:tr w14:paraId="49941B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4" w:space="0"/>
              <w:bottom w:val="single" w:color="auto" w:sz="8" w:space="0"/>
              <w:right w:val="single" w:color="auto" w:sz="4" w:space="0"/>
            </w:tcBorders>
            <w:vAlign w:val="center"/>
          </w:tcPr>
          <w:p w14:paraId="4EA118F3">
            <w:pPr>
              <w:spacing w:line="520" w:lineRule="exact"/>
              <w:jc w:val="center"/>
              <w:rPr>
                <w:rFonts w:ascii="仿宋" w:hAnsi="仿宋" w:eastAsia="仿宋"/>
                <w:color w:val="auto"/>
                <w:sz w:val="30"/>
                <w:szCs w:val="30"/>
              </w:rPr>
            </w:pPr>
            <w:r>
              <w:rPr>
                <w:rFonts w:hint="eastAsia" w:ascii="仿宋" w:hAnsi="仿宋" w:eastAsia="仿宋"/>
                <w:color w:val="auto"/>
                <w:sz w:val="30"/>
                <w:szCs w:val="30"/>
              </w:rPr>
              <w:t>6</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14:paraId="15FB1104">
            <w:pPr>
              <w:spacing w:line="520" w:lineRule="exact"/>
              <w:jc w:val="center"/>
              <w:rPr>
                <w:rFonts w:ascii="仿宋" w:hAnsi="仿宋" w:eastAsia="仿宋"/>
                <w:color w:val="auto"/>
                <w:sz w:val="30"/>
                <w:szCs w:val="30"/>
              </w:rPr>
            </w:pPr>
            <w:r>
              <w:rPr>
                <w:rFonts w:hint="eastAsia" w:ascii="仿宋" w:hAnsi="仿宋" w:eastAsia="仿宋"/>
                <w:color w:val="auto"/>
                <w:sz w:val="30"/>
                <w:szCs w:val="30"/>
              </w:rPr>
              <w:t>消火栓（消防炮）灭火系统</w:t>
            </w:r>
          </w:p>
        </w:tc>
        <w:tc>
          <w:tcPr>
            <w:tcW w:w="6960" w:type="dxa"/>
            <w:tcBorders>
              <w:top w:val="single" w:color="auto" w:sz="8" w:space="0"/>
              <w:left w:val="single" w:color="auto" w:sz="8" w:space="0"/>
              <w:bottom w:val="single" w:color="auto" w:sz="8" w:space="0"/>
              <w:right w:val="single" w:color="auto" w:sz="8" w:space="0"/>
            </w:tcBorders>
            <w:vAlign w:val="center"/>
          </w:tcPr>
          <w:p w14:paraId="79DC5D91">
            <w:pPr>
              <w:spacing w:line="520" w:lineRule="exact"/>
              <w:rPr>
                <w:rFonts w:ascii="仿宋" w:hAnsi="仿宋" w:eastAsia="仿宋"/>
                <w:color w:val="auto"/>
                <w:sz w:val="30"/>
                <w:szCs w:val="30"/>
              </w:rPr>
            </w:pPr>
            <w:r>
              <w:rPr>
                <w:rFonts w:hint="eastAsia" w:ascii="仿宋" w:hAnsi="仿宋" w:eastAsia="仿宋"/>
                <w:color w:val="auto"/>
                <w:sz w:val="30"/>
                <w:szCs w:val="30"/>
              </w:rPr>
              <w:t>室内消火栓、消防卷盘外观良好，配件完整</w:t>
            </w:r>
          </w:p>
        </w:tc>
      </w:tr>
      <w:tr w14:paraId="45B247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46D384C0">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3079B476">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2EF627B2">
            <w:pPr>
              <w:spacing w:line="520" w:lineRule="exact"/>
              <w:rPr>
                <w:rFonts w:ascii="仿宋" w:hAnsi="仿宋" w:eastAsia="仿宋"/>
                <w:color w:val="auto"/>
                <w:sz w:val="30"/>
                <w:szCs w:val="30"/>
              </w:rPr>
            </w:pPr>
            <w:r>
              <w:rPr>
                <w:rFonts w:hint="eastAsia" w:ascii="仿宋" w:hAnsi="仿宋" w:eastAsia="仿宋"/>
                <w:color w:val="auto"/>
                <w:sz w:val="30"/>
                <w:szCs w:val="30"/>
              </w:rPr>
              <w:t xml:space="preserve">屋顶试验消火栓外观良好，运行正常及配件完整、压力显示装置外观良好，运行正常，最不利点消火栓管口静压力建筑高度100米及以上不低于0.15MP，建筑高度100米以下不低于0.07MP；楼层及地下室消火栓管口静压力不大于0.8 MP。 </w:t>
            </w:r>
          </w:p>
        </w:tc>
      </w:tr>
      <w:tr w14:paraId="7756FA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15B35E1D">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6AF52E8C">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71048EBA">
            <w:pPr>
              <w:spacing w:line="520" w:lineRule="exact"/>
              <w:rPr>
                <w:rFonts w:ascii="仿宋" w:hAnsi="仿宋" w:eastAsia="仿宋"/>
                <w:color w:val="auto"/>
                <w:sz w:val="30"/>
                <w:szCs w:val="30"/>
              </w:rPr>
            </w:pPr>
            <w:r>
              <w:rPr>
                <w:rFonts w:hint="eastAsia" w:ascii="仿宋" w:hAnsi="仿宋" w:eastAsia="仿宋"/>
                <w:color w:val="auto"/>
                <w:sz w:val="30"/>
                <w:szCs w:val="30"/>
              </w:rPr>
              <w:t>室外消火栓外观良好、地下消火栓标识齐备、栓井环境良好</w:t>
            </w:r>
          </w:p>
        </w:tc>
      </w:tr>
      <w:tr w14:paraId="70F0B0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4B505F86">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6EA7AC81">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1D5402DC">
            <w:pPr>
              <w:spacing w:line="520" w:lineRule="exact"/>
              <w:rPr>
                <w:rFonts w:ascii="仿宋" w:hAnsi="仿宋" w:eastAsia="仿宋"/>
                <w:color w:val="auto"/>
                <w:sz w:val="30"/>
                <w:szCs w:val="30"/>
              </w:rPr>
            </w:pPr>
            <w:r>
              <w:rPr>
                <w:rFonts w:hint="eastAsia" w:ascii="仿宋" w:hAnsi="仿宋" w:eastAsia="仿宋"/>
                <w:color w:val="auto"/>
                <w:sz w:val="30"/>
                <w:szCs w:val="30"/>
              </w:rPr>
              <w:t>消防炮、炮塔、现场火灾探测控制装置、回旋装置等外观良好及周边环境良好</w:t>
            </w:r>
          </w:p>
        </w:tc>
      </w:tr>
      <w:tr w14:paraId="3095D6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03EA9650">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39665B37">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42E74E02">
            <w:pPr>
              <w:spacing w:line="520" w:lineRule="exact"/>
              <w:rPr>
                <w:rFonts w:ascii="仿宋" w:hAnsi="仿宋" w:eastAsia="仿宋"/>
                <w:color w:val="auto"/>
                <w:sz w:val="30"/>
                <w:szCs w:val="30"/>
              </w:rPr>
            </w:pPr>
            <w:r>
              <w:rPr>
                <w:rFonts w:hint="eastAsia" w:ascii="仿宋" w:hAnsi="仿宋" w:eastAsia="仿宋"/>
                <w:color w:val="auto"/>
                <w:sz w:val="30"/>
                <w:szCs w:val="30"/>
              </w:rPr>
              <w:t>启泵按钮外观良好</w:t>
            </w:r>
          </w:p>
        </w:tc>
      </w:tr>
      <w:tr w14:paraId="418486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8" w:space="0"/>
              <w:bottom w:val="single" w:color="auto" w:sz="8" w:space="0"/>
              <w:right w:val="single" w:color="auto" w:sz="4" w:space="0"/>
            </w:tcBorders>
            <w:vAlign w:val="center"/>
          </w:tcPr>
          <w:p w14:paraId="423EE180">
            <w:pPr>
              <w:spacing w:line="520" w:lineRule="exact"/>
              <w:jc w:val="center"/>
              <w:rPr>
                <w:rFonts w:ascii="仿宋" w:hAnsi="仿宋" w:eastAsia="仿宋"/>
                <w:color w:val="auto"/>
                <w:sz w:val="30"/>
                <w:szCs w:val="30"/>
              </w:rPr>
            </w:pPr>
            <w:r>
              <w:rPr>
                <w:rFonts w:hint="eastAsia" w:ascii="仿宋" w:hAnsi="仿宋" w:eastAsia="仿宋"/>
                <w:color w:val="auto"/>
                <w:sz w:val="30"/>
                <w:szCs w:val="30"/>
              </w:rPr>
              <w:t>7</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14:paraId="45A93433">
            <w:pPr>
              <w:spacing w:line="520" w:lineRule="exact"/>
              <w:jc w:val="center"/>
              <w:rPr>
                <w:rFonts w:ascii="仿宋" w:hAnsi="仿宋" w:eastAsia="仿宋"/>
                <w:color w:val="auto"/>
                <w:sz w:val="30"/>
                <w:szCs w:val="30"/>
              </w:rPr>
            </w:pPr>
            <w:r>
              <w:rPr>
                <w:rFonts w:hint="eastAsia" w:ascii="仿宋" w:hAnsi="仿宋" w:eastAsia="仿宋"/>
                <w:color w:val="auto"/>
                <w:sz w:val="30"/>
                <w:szCs w:val="30"/>
              </w:rPr>
              <w:t>自动喷水灭火系统</w:t>
            </w:r>
          </w:p>
        </w:tc>
        <w:tc>
          <w:tcPr>
            <w:tcW w:w="6960" w:type="dxa"/>
            <w:tcBorders>
              <w:top w:val="single" w:color="auto" w:sz="8" w:space="0"/>
              <w:left w:val="single" w:color="auto" w:sz="8" w:space="0"/>
              <w:bottom w:val="single" w:color="auto" w:sz="8" w:space="0"/>
              <w:right w:val="single" w:color="auto" w:sz="8" w:space="0"/>
            </w:tcBorders>
            <w:vAlign w:val="center"/>
          </w:tcPr>
          <w:p w14:paraId="416CBB05">
            <w:pPr>
              <w:spacing w:line="520" w:lineRule="exact"/>
              <w:rPr>
                <w:rFonts w:ascii="仿宋" w:hAnsi="仿宋" w:eastAsia="仿宋"/>
                <w:color w:val="auto"/>
                <w:sz w:val="30"/>
                <w:szCs w:val="30"/>
              </w:rPr>
            </w:pPr>
            <w:r>
              <w:rPr>
                <w:rFonts w:hint="eastAsia" w:ascii="仿宋" w:hAnsi="仿宋" w:eastAsia="仿宋"/>
                <w:color w:val="auto"/>
                <w:sz w:val="30"/>
                <w:szCs w:val="30"/>
              </w:rPr>
              <w:t>喷头外观良好，保护对象周边无障碍物</w:t>
            </w:r>
          </w:p>
        </w:tc>
      </w:tr>
      <w:tr w14:paraId="35F48B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14:paraId="2895C7B9">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455C1D09">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19153299">
            <w:pPr>
              <w:spacing w:line="520" w:lineRule="exact"/>
              <w:rPr>
                <w:rFonts w:ascii="仿宋" w:hAnsi="仿宋" w:eastAsia="仿宋"/>
                <w:color w:val="auto"/>
                <w:sz w:val="30"/>
                <w:szCs w:val="30"/>
              </w:rPr>
            </w:pPr>
            <w:r>
              <w:rPr>
                <w:rFonts w:hint="eastAsia" w:ascii="仿宋" w:hAnsi="仿宋" w:eastAsia="仿宋"/>
                <w:color w:val="auto"/>
                <w:sz w:val="30"/>
                <w:szCs w:val="30"/>
              </w:rPr>
              <w:t>报警阀组外观良好、试验阀门正常、排水设施正常、压力显示值在设计范围</w:t>
            </w:r>
          </w:p>
        </w:tc>
      </w:tr>
      <w:tr w14:paraId="11789A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14:paraId="6A6CA3C9">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1C6D0111">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4A712B93">
            <w:pPr>
              <w:spacing w:line="520" w:lineRule="exact"/>
              <w:rPr>
                <w:rFonts w:ascii="仿宋" w:hAnsi="仿宋" w:eastAsia="仿宋"/>
                <w:color w:val="auto"/>
                <w:sz w:val="30"/>
                <w:szCs w:val="30"/>
              </w:rPr>
            </w:pPr>
            <w:r>
              <w:rPr>
                <w:rFonts w:hint="eastAsia" w:ascii="仿宋" w:hAnsi="仿宋" w:eastAsia="仿宋"/>
                <w:color w:val="auto"/>
                <w:sz w:val="30"/>
                <w:szCs w:val="30"/>
              </w:rPr>
              <w:t>充气设备及控制装置、排气设备及控制装置、火灾探测传动及现场手动控制装置外观良好，运行正常</w:t>
            </w:r>
          </w:p>
        </w:tc>
      </w:tr>
      <w:tr w14:paraId="1642AC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14:paraId="42D1BFC5">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524A0687">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54F2C348">
            <w:pPr>
              <w:spacing w:line="520" w:lineRule="exact"/>
              <w:rPr>
                <w:rFonts w:ascii="仿宋" w:hAnsi="仿宋" w:eastAsia="仿宋"/>
                <w:color w:val="auto"/>
                <w:sz w:val="30"/>
                <w:szCs w:val="30"/>
              </w:rPr>
            </w:pPr>
            <w:r>
              <w:rPr>
                <w:rFonts w:hint="eastAsia" w:ascii="仿宋" w:hAnsi="仿宋" w:eastAsia="仿宋"/>
                <w:color w:val="auto"/>
                <w:sz w:val="30"/>
                <w:szCs w:val="30"/>
              </w:rPr>
              <w:t>楼层或区域末端试验阀门处压力值在设计范围现场环境良好，系统末端试验装置正常</w:t>
            </w:r>
          </w:p>
        </w:tc>
      </w:tr>
      <w:tr w14:paraId="58671D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13196E0E">
            <w:pPr>
              <w:spacing w:line="520" w:lineRule="exact"/>
              <w:jc w:val="center"/>
              <w:rPr>
                <w:rFonts w:ascii="仿宋" w:hAnsi="仿宋" w:eastAsia="仿宋"/>
                <w:color w:val="auto"/>
                <w:sz w:val="30"/>
                <w:szCs w:val="30"/>
              </w:rPr>
            </w:pPr>
            <w:r>
              <w:rPr>
                <w:rFonts w:hint="eastAsia" w:ascii="仿宋" w:hAnsi="仿宋" w:eastAsia="仿宋"/>
                <w:color w:val="auto"/>
                <w:sz w:val="30"/>
                <w:szCs w:val="30"/>
              </w:rPr>
              <w:t>8</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35A3EE9B">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气体灭火系统</w:t>
            </w:r>
          </w:p>
        </w:tc>
        <w:tc>
          <w:tcPr>
            <w:tcW w:w="6960" w:type="dxa"/>
            <w:tcBorders>
              <w:top w:val="single" w:color="auto" w:sz="6" w:space="0"/>
              <w:left w:val="single" w:color="auto" w:sz="6" w:space="0"/>
              <w:bottom w:val="single" w:color="auto" w:sz="6" w:space="0"/>
              <w:right w:val="single" w:color="auto" w:sz="6" w:space="0"/>
            </w:tcBorders>
            <w:vAlign w:val="center"/>
          </w:tcPr>
          <w:p w14:paraId="6488B9FB">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气体灭火控制器外观良好、工作正常</w:t>
            </w:r>
          </w:p>
        </w:tc>
      </w:tr>
      <w:tr w14:paraId="52DC0D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3C17FBF">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2EC365D">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6AD24912">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储瓶间环境良好，气体瓶组成储罐外观良好，检漏装置外观良好、运行状况</w:t>
            </w:r>
          </w:p>
        </w:tc>
      </w:tr>
      <w:tr w14:paraId="2F1661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62FDB9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4E4D6D6">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E2E7E30">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容器阀、选择阀、驱动装置等组件外观良好</w:t>
            </w:r>
          </w:p>
        </w:tc>
      </w:tr>
      <w:tr w14:paraId="04DD56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C06E3AD">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53FE66D">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EC982E7">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紧急启/停按扭外观良好，喷嘴外观良好、防护区环境良好</w:t>
            </w:r>
          </w:p>
        </w:tc>
      </w:tr>
      <w:tr w14:paraId="321E91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2B73BF0">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ECA1E14">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0A97FA56">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预制灭火装置外观良好、设置位置、安全阀等组件外观良好、运行正常</w:t>
            </w:r>
          </w:p>
        </w:tc>
      </w:tr>
      <w:tr w14:paraId="30EBE6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157B541">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64D89D7">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C3C8491">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放气指示灯及警报器外观良好</w:t>
            </w:r>
          </w:p>
        </w:tc>
      </w:tr>
      <w:tr w14:paraId="2D525E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9"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528B975">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DF3DA06">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5F3C895">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控制装置、安全阀等组件外观良好、运行正常</w:t>
            </w:r>
          </w:p>
        </w:tc>
      </w:tr>
      <w:tr w14:paraId="1B943C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30D6D904">
            <w:pPr>
              <w:spacing w:line="520" w:lineRule="exact"/>
              <w:jc w:val="center"/>
              <w:rPr>
                <w:rFonts w:ascii="仿宋" w:hAnsi="仿宋" w:eastAsia="仿宋"/>
                <w:color w:val="auto"/>
                <w:sz w:val="30"/>
                <w:szCs w:val="30"/>
              </w:rPr>
            </w:pPr>
            <w:r>
              <w:rPr>
                <w:rFonts w:hint="eastAsia" w:ascii="仿宋" w:hAnsi="仿宋" w:eastAsia="仿宋"/>
                <w:color w:val="auto"/>
                <w:sz w:val="30"/>
                <w:szCs w:val="30"/>
              </w:rPr>
              <w:t>9</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155A219A">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防烟、排烟系统</w:t>
            </w:r>
          </w:p>
        </w:tc>
        <w:tc>
          <w:tcPr>
            <w:tcW w:w="6960" w:type="dxa"/>
            <w:tcBorders>
              <w:top w:val="single" w:color="auto" w:sz="6" w:space="0"/>
              <w:left w:val="single" w:color="auto" w:sz="6" w:space="0"/>
              <w:bottom w:val="single" w:color="auto" w:sz="6" w:space="0"/>
              <w:right w:val="single" w:color="auto" w:sz="6" w:space="0"/>
            </w:tcBorders>
            <w:vAlign w:val="center"/>
          </w:tcPr>
          <w:p w14:paraId="4BD3CB0C">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送风阀外观良好</w:t>
            </w:r>
          </w:p>
        </w:tc>
      </w:tr>
      <w:tr w14:paraId="7182E2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B05F9E8">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C6FCC40">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5D2DFE0">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送风机及控制柜外观良好，运行正常</w:t>
            </w:r>
          </w:p>
        </w:tc>
      </w:tr>
      <w:tr w14:paraId="74399E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49FE9761">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DDE1BC2">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CBFBB56">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防火阀、排烟阀及其控制装置外观良好</w:t>
            </w:r>
          </w:p>
        </w:tc>
      </w:tr>
      <w:tr w14:paraId="52A5A8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52ADBE4D">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CD02B01">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031BFE74">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排烟设施外观良好</w:t>
            </w:r>
          </w:p>
        </w:tc>
      </w:tr>
      <w:tr w14:paraId="2D8CDE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058B144">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AE9299D">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D322EA4">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排烟机及控制柜外观良好及工作正常</w:t>
            </w:r>
          </w:p>
        </w:tc>
      </w:tr>
      <w:tr w14:paraId="52DD6B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D7DC3EF">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84C9565">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74E03DA">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送风、排烟机房环境良好</w:t>
            </w:r>
          </w:p>
        </w:tc>
      </w:tr>
      <w:tr w14:paraId="373B57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5C86EA6A">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20DD8DA8">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5E9FD03">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送排风风机每月至少试机一次，运行时间不低于10分钟，并如实填写《风机运行记录》。</w:t>
            </w:r>
          </w:p>
        </w:tc>
      </w:tr>
      <w:tr w14:paraId="635B27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8" w:hRule="atLeast"/>
        </w:trPr>
        <w:tc>
          <w:tcPr>
            <w:tcW w:w="570" w:type="dxa"/>
            <w:vMerge w:val="restart"/>
            <w:tcBorders>
              <w:top w:val="single" w:color="auto" w:sz="4" w:space="0"/>
              <w:left w:val="single" w:color="auto" w:sz="6" w:space="0"/>
              <w:bottom w:val="single" w:color="auto" w:sz="6" w:space="0"/>
              <w:right w:val="single" w:color="auto" w:sz="4" w:space="0"/>
            </w:tcBorders>
            <w:vAlign w:val="center"/>
          </w:tcPr>
          <w:p w14:paraId="1AA86A41">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10</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14:paraId="6D9EDAF5">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应急照明和疏散指示标志</w:t>
            </w:r>
          </w:p>
        </w:tc>
        <w:tc>
          <w:tcPr>
            <w:tcW w:w="6960" w:type="dxa"/>
            <w:tcBorders>
              <w:top w:val="single" w:color="auto" w:sz="4" w:space="0"/>
              <w:left w:val="single" w:color="auto" w:sz="6" w:space="0"/>
              <w:bottom w:val="single" w:color="auto" w:sz="6" w:space="0"/>
              <w:right w:val="single" w:color="auto" w:sz="6" w:space="0"/>
            </w:tcBorders>
            <w:vAlign w:val="center"/>
          </w:tcPr>
          <w:p w14:paraId="79051CE8">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应急灯具外观良好、工作正常</w:t>
            </w:r>
          </w:p>
        </w:tc>
      </w:tr>
      <w:tr w14:paraId="1239C5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14:paraId="65B31F35">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49C294AB">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8FF4335">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疏散指示标志外观良好、工作正常</w:t>
            </w:r>
          </w:p>
        </w:tc>
      </w:tr>
      <w:tr w14:paraId="4C5A4E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14:paraId="270C70F2">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71A0DEA6">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6CAA2A8D">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集中供电型应急照明灯具、疏散指示标志灯外观良好、工作正常；集中电源工作正常</w:t>
            </w:r>
          </w:p>
        </w:tc>
      </w:tr>
      <w:tr w14:paraId="6BD818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1"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14:paraId="2565161E">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0D5271F0">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D2030E8">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应急照明灯具、疏散指示灯标志灯外观良好，工作正常</w:t>
            </w:r>
          </w:p>
        </w:tc>
      </w:tr>
      <w:tr w14:paraId="2F014A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14:paraId="7E153EB7">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59B7533E">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应急广播系统</w:t>
            </w:r>
          </w:p>
        </w:tc>
        <w:tc>
          <w:tcPr>
            <w:tcW w:w="6960" w:type="dxa"/>
            <w:tcBorders>
              <w:top w:val="single" w:color="auto" w:sz="6" w:space="0"/>
              <w:left w:val="single" w:color="auto" w:sz="6" w:space="0"/>
              <w:bottom w:val="single" w:color="auto" w:sz="6" w:space="0"/>
              <w:right w:val="single" w:color="auto" w:sz="6" w:space="0"/>
            </w:tcBorders>
            <w:vAlign w:val="center"/>
          </w:tcPr>
          <w:p w14:paraId="5F6E582E">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扬声器外观良好</w:t>
            </w:r>
          </w:p>
        </w:tc>
      </w:tr>
      <w:tr w14:paraId="348850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2395D1A6">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C53D9CD">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08DBF5FA">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功放、卡座、分配盘外观良好良好，运行正常</w:t>
            </w:r>
          </w:p>
        </w:tc>
      </w:tr>
      <w:tr w14:paraId="35D3EB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14:paraId="77EFE0E4">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246CCDB3">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消防专用电话</w:t>
            </w:r>
          </w:p>
        </w:tc>
        <w:tc>
          <w:tcPr>
            <w:tcW w:w="6960" w:type="dxa"/>
            <w:tcBorders>
              <w:top w:val="single" w:color="auto" w:sz="6" w:space="0"/>
              <w:left w:val="single" w:color="auto" w:sz="6" w:space="0"/>
              <w:bottom w:val="single" w:color="auto" w:sz="6" w:space="0"/>
              <w:right w:val="single" w:color="auto" w:sz="6" w:space="0"/>
            </w:tcBorders>
            <w:vAlign w:val="center"/>
          </w:tcPr>
          <w:p w14:paraId="344C4553">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消防电话主机外观正常、工作正常</w:t>
            </w:r>
          </w:p>
        </w:tc>
      </w:tr>
      <w:tr w14:paraId="39D8A9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297DE21C">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2F468EB">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DB0C44D">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分机电话外观良好，电话插孔外观良好，插孔电话机外观良好，通话功能正常</w:t>
            </w:r>
          </w:p>
        </w:tc>
      </w:tr>
      <w:tr w14:paraId="1914BD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4" w:space="0"/>
              <w:left w:val="single" w:color="auto" w:sz="6" w:space="0"/>
              <w:bottom w:val="single" w:color="auto" w:sz="6" w:space="0"/>
              <w:right w:val="single" w:color="auto" w:sz="4" w:space="0"/>
            </w:tcBorders>
            <w:vAlign w:val="center"/>
          </w:tcPr>
          <w:p w14:paraId="487866AD">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13</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14:paraId="492D0855">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防火分隔设施</w:t>
            </w:r>
          </w:p>
        </w:tc>
        <w:tc>
          <w:tcPr>
            <w:tcW w:w="6960" w:type="dxa"/>
            <w:tcBorders>
              <w:top w:val="single" w:color="auto" w:sz="6" w:space="0"/>
              <w:left w:val="single" w:color="auto" w:sz="6" w:space="0"/>
              <w:bottom w:val="single" w:color="auto" w:sz="6" w:space="0"/>
              <w:right w:val="single" w:color="auto" w:sz="6" w:space="0"/>
            </w:tcBorders>
            <w:vAlign w:val="center"/>
          </w:tcPr>
          <w:p w14:paraId="5761F270">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防火门外观良好，配件完整，防火门启闭状况正常，周围环境良好</w:t>
            </w:r>
          </w:p>
        </w:tc>
      </w:tr>
      <w:tr w14:paraId="106AB8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14:paraId="70586575">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127DD4E7">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122C0229">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防火卷帘外观良好配件完整，防火卷帘控制装置外观良好，工作正常</w:t>
            </w:r>
          </w:p>
        </w:tc>
      </w:tr>
      <w:tr w14:paraId="537808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14:paraId="5D76171E">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5EB1FA20">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C52252C">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防火封堵外观良好</w:t>
            </w:r>
          </w:p>
        </w:tc>
      </w:tr>
      <w:tr w14:paraId="7370F6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6E177689">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3E4FBA85">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消防电梯</w:t>
            </w:r>
          </w:p>
        </w:tc>
        <w:tc>
          <w:tcPr>
            <w:tcW w:w="6960" w:type="dxa"/>
            <w:tcBorders>
              <w:top w:val="single" w:color="auto" w:sz="6" w:space="0"/>
              <w:left w:val="single" w:color="auto" w:sz="6" w:space="0"/>
              <w:bottom w:val="single" w:color="auto" w:sz="6" w:space="0"/>
              <w:right w:val="single" w:color="auto" w:sz="6" w:space="0"/>
            </w:tcBorders>
            <w:vAlign w:val="center"/>
          </w:tcPr>
          <w:p w14:paraId="4943DA9E">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紧急按钮外观良好，轿箱内电话外观良好，通话功能正常</w:t>
            </w:r>
          </w:p>
        </w:tc>
      </w:tr>
      <w:tr w14:paraId="3A4A06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65CDAA5">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7417AAA">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0C4DF6F">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电梯井排水设施外观良好，工作正常</w:t>
            </w:r>
          </w:p>
        </w:tc>
      </w:tr>
      <w:tr w14:paraId="2B8E2E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3C06052">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95542D7">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31C1CB7">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消防电梯工作正常</w:t>
            </w:r>
          </w:p>
        </w:tc>
      </w:tr>
      <w:tr w14:paraId="62CB30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14:paraId="0167CD92">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1576AF14">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灭火器</w:t>
            </w:r>
          </w:p>
        </w:tc>
        <w:tc>
          <w:tcPr>
            <w:tcW w:w="6960" w:type="dxa"/>
            <w:tcBorders>
              <w:top w:val="single" w:color="auto" w:sz="6" w:space="0"/>
              <w:left w:val="single" w:color="auto" w:sz="6" w:space="0"/>
              <w:bottom w:val="single" w:color="auto" w:sz="6" w:space="0"/>
              <w:right w:val="single" w:color="auto" w:sz="6" w:space="0"/>
            </w:tcBorders>
            <w:vAlign w:val="center"/>
          </w:tcPr>
          <w:p w14:paraId="2D178E73">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灭火器外观良好</w:t>
            </w:r>
          </w:p>
        </w:tc>
      </w:tr>
      <w:tr w14:paraId="6047D3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43E2267E">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DC29ECF">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1951C796">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灭火器配备数量正常</w:t>
            </w:r>
          </w:p>
        </w:tc>
      </w:tr>
      <w:tr w14:paraId="795406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7BBA6EB1">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70B3398">
            <w:pPr>
              <w:widowControl/>
              <w:spacing w:line="520" w:lineRule="exact"/>
              <w:jc w:val="left"/>
              <w:rPr>
                <w:rFonts w:ascii="仿宋" w:hAnsi="仿宋" w:eastAsia="仿宋"/>
                <w:color w:val="auto"/>
                <w:sz w:val="30"/>
                <w:szCs w:val="30"/>
              </w:rPr>
            </w:pPr>
          </w:p>
        </w:tc>
        <w:tc>
          <w:tcPr>
            <w:tcW w:w="6960" w:type="dxa"/>
            <w:tcBorders>
              <w:top w:val="single" w:color="auto" w:sz="4" w:space="0"/>
              <w:left w:val="single" w:color="auto" w:sz="6" w:space="0"/>
              <w:bottom w:val="single" w:color="auto" w:sz="6" w:space="0"/>
              <w:right w:val="single" w:color="auto" w:sz="6" w:space="0"/>
            </w:tcBorders>
            <w:vAlign w:val="center"/>
          </w:tcPr>
          <w:p w14:paraId="2F52B6B4">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灭火器压力显示正常、维修标示齐备</w:t>
            </w:r>
          </w:p>
        </w:tc>
      </w:tr>
      <w:tr w14:paraId="480E73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3532313D">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48D8EE6">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9E9949F">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设置位置正常</w:t>
            </w:r>
          </w:p>
        </w:tc>
      </w:tr>
    </w:tbl>
    <w:p w14:paraId="653F2A75">
      <w:pPr>
        <w:spacing w:line="520" w:lineRule="exact"/>
        <w:rPr>
          <w:rFonts w:ascii="仿宋" w:hAnsi="仿宋" w:eastAsia="仿宋"/>
          <w:bCs/>
          <w:color w:val="auto"/>
          <w:sz w:val="30"/>
          <w:szCs w:val="30"/>
        </w:rPr>
      </w:pPr>
      <w:r>
        <w:rPr>
          <w:rFonts w:hint="eastAsia" w:ascii="仿宋" w:hAnsi="仿宋" w:eastAsia="仿宋"/>
          <w:bCs/>
          <w:color w:val="auto"/>
          <w:sz w:val="30"/>
          <w:szCs w:val="30"/>
        </w:rPr>
        <w:t>（三）巡查记录参考</w:t>
      </w:r>
      <w:r>
        <w:rPr>
          <w:rFonts w:hint="eastAsia" w:ascii="仿宋" w:hAnsi="仿宋" w:eastAsia="仿宋" w:cs="宋体"/>
          <w:bCs/>
          <w:color w:val="auto"/>
          <w:sz w:val="30"/>
          <w:szCs w:val="30"/>
        </w:rPr>
        <w:t>《消防维护检查记录表》</w:t>
      </w:r>
      <w:r>
        <w:rPr>
          <w:rFonts w:hint="eastAsia" w:ascii="仿宋" w:hAnsi="仿宋" w:eastAsia="仿宋"/>
          <w:bCs/>
          <w:color w:val="auto"/>
          <w:sz w:val="30"/>
          <w:szCs w:val="30"/>
        </w:rPr>
        <w:t>相关要求。</w:t>
      </w:r>
    </w:p>
    <w:p w14:paraId="4BBB8622">
      <w:pPr>
        <w:spacing w:line="520" w:lineRule="exact"/>
        <w:ind w:firstLine="300" w:firstLineChars="100"/>
        <w:rPr>
          <w:rFonts w:ascii="仿宋" w:hAnsi="仿宋" w:eastAsia="仿宋"/>
          <w:color w:val="auto"/>
          <w:sz w:val="30"/>
          <w:szCs w:val="30"/>
        </w:rPr>
      </w:pPr>
      <w:r>
        <w:rPr>
          <w:rFonts w:hint="eastAsia" w:ascii="仿宋" w:hAnsi="仿宋" w:eastAsia="仿宋"/>
          <w:bCs/>
          <w:color w:val="auto"/>
          <w:sz w:val="30"/>
          <w:szCs w:val="30"/>
        </w:rPr>
        <w:t>二</w:t>
      </w:r>
      <w:r>
        <w:rPr>
          <w:rFonts w:hint="eastAsia" w:ascii="仿宋" w:hAnsi="仿宋" w:eastAsia="仿宋"/>
          <w:color w:val="auto"/>
          <w:sz w:val="30"/>
          <w:szCs w:val="30"/>
        </w:rPr>
        <w:t>、检测</w:t>
      </w:r>
    </w:p>
    <w:p w14:paraId="5DACFEF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（一） 一般要求</w:t>
      </w:r>
    </w:p>
    <w:p w14:paraId="4374CF4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1、基础、通用类每年至少检测一次；高端类每季度至少检测一次；检测对象包括全部系统设备、组件等；</w:t>
      </w:r>
    </w:p>
    <w:p w14:paraId="6CA72FB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2、消防设施设备检测的人员，应当通过消防行业特有工种职业技能鉴定，持有高级技能以上等级职业资格证书。</w:t>
      </w:r>
    </w:p>
    <w:p w14:paraId="501A970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设施设备检测由外委消防维保单位进行并如实填写《消防维护检查记录表》的相关内容；外委消防维保单位实施维修、整改措施；物业服务中心消防设备管理员负责跟踪，监督；服务管理中心消防工程师负责技术支持及对检测结果评估，协助制定维修、整改方案。</w:t>
      </w:r>
    </w:p>
    <w:p w14:paraId="351E7A62">
      <w:pPr>
        <w:spacing w:line="520" w:lineRule="exact"/>
        <w:ind w:firstLine="600" w:firstLineChars="200"/>
        <w:rPr>
          <w:rFonts w:ascii="仿宋" w:hAnsi="仿宋" w:eastAsia="仿宋"/>
          <w:color w:val="auto"/>
          <w:sz w:val="30"/>
          <w:szCs w:val="30"/>
        </w:rPr>
      </w:pPr>
      <w:r>
        <w:rPr>
          <w:rFonts w:hint="eastAsia" w:ascii="仿宋" w:hAnsi="仿宋" w:eastAsia="仿宋"/>
          <w:bCs/>
          <w:color w:val="auto"/>
          <w:sz w:val="30"/>
          <w:szCs w:val="30"/>
        </w:rPr>
        <w:t>（二）检测内容</w:t>
      </w:r>
    </w:p>
    <w:p w14:paraId="20A3285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1、消防供配电设施的检测内容部分。</w:t>
      </w:r>
    </w:p>
    <w:p w14:paraId="5CAE0A3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（1）消防设备配电箱应有区别于其他配电箱的明显标志，不同消防设备的配电箱应有明显区分标识。配电箱上的仪表、指示灯的显示应正常，开关及控制按钮应灵活可靠。</w:t>
      </w:r>
    </w:p>
    <w:p w14:paraId="4374133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（2）切换备用电源的控制方式及操作程序应符合设计要求。</w:t>
      </w:r>
    </w:p>
    <w:p w14:paraId="0FBD5B4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（3）自备发电机组</w:t>
      </w:r>
    </w:p>
    <w:p w14:paraId="04BA420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A、发电机：仪表、指示灯及开关按钮等应完好，显示应正常。自动启动并达到额定转速并发电的时间不应大于30s，发电机运行及输出功率、电压、频率、相位的显示均应正常。机房通风设施运行正常。</w:t>
      </w:r>
    </w:p>
    <w:p w14:paraId="3011EB2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B、储油设施：储油箱内的油量应能满足发电机运行4－8小时的用量，油位显示应正常。</w:t>
      </w:r>
    </w:p>
    <w:p w14:paraId="34D3987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燃油标号应正确。</w:t>
      </w:r>
    </w:p>
    <w:p w14:paraId="3B0B893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2、火灾自动报警系统的检测内容部分</w:t>
      </w:r>
    </w:p>
    <w:p w14:paraId="3709FF0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（1）火灾探测器</w:t>
      </w:r>
    </w:p>
    <w:p w14:paraId="2587DFD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A、点型感烟探测器：应在试验烟气作用下动作，向火灾报警控制器输出火警信号，并启动探测器报警确认灯；探测器报警确认灯应在手动复位前予以保持。</w:t>
      </w:r>
    </w:p>
    <w:p w14:paraId="268307A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B、线型光束感烟探测器：当对射光束的减光值达到1.0dB～10dB时，应在30s内向火灾报警控制器输出火警信号，启动探测器报警确认灯。</w:t>
      </w:r>
    </w:p>
    <w:p w14:paraId="52EA47B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C、点型、线型感温探测器：应在试验热源作用下动作，向火灾报警控制器输出火警信号；点型探测器报警应启动探测器报警确认灯，并应在手动复位前予以保持。</w:t>
      </w:r>
    </w:p>
    <w:p w14:paraId="687EAB1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D、火焰（或感光）探测器：应在试验光源作用下，在规定的响应时间内动作，并向火灾报警控制器输出火警信号；具有报警确认灯的探测器应同时启动报警确认灯，并应在手动复位前予以保持。</w:t>
      </w:r>
    </w:p>
    <w:p w14:paraId="2EEE56F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（2）手动报警按钮：</w:t>
      </w:r>
    </w:p>
    <w:p w14:paraId="7FECF89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被触发时，应向报警控制器输出火警信号，同时启动按钮的报警确认灯；应能手动复位。</w:t>
      </w:r>
    </w:p>
    <w:p w14:paraId="74C7601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（3）火灾报警控制器</w:t>
      </w:r>
    </w:p>
    <w:p w14:paraId="70AC2E7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火灾报警控制器（区域、集中、通用）：能直接或间接地接收来自火灾探测器及其他火灾报警触发器件的火灾报警信号，发出声、光报警信号，指示火灾发生部位，并予保持；光报警信号在火灾报警控制器复位之前应不能手动消除；声报警信号应能手动消除，但再次有火灾报警信号输入时，应能再启动。当火灾报警控制器内部，火灾报警控制器与火灾探测器、火灾报警控制器与起传输火灾报警信号作用的部件间发生下述故障时，应能在100 s内发出与火灾报警信号有明显区别的声、光故障信号；</w:t>
      </w:r>
    </w:p>
    <w:p w14:paraId="0BAAED6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B、火灾报警控制器应有本机检查功能，火灾报警控制器在执行自检功能时，应切断受其控制的外接设备。如火灾报警控制器进行每次自检所需时间超过l min或其不能自动停止自检功能，自检期间，如非自检回路有火灾报警信号输入，火灾报警控制器应能发出火灾报警声、光信号。</w:t>
      </w:r>
    </w:p>
    <w:p w14:paraId="63FC676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C、火灾报警控制器应具有显示或记录火灾报警时间的计时装置，其日计时误差不超过30s；仅使用打印机记录火灾报警时间时，应打印出月、日、时、分等信息。</w:t>
      </w:r>
    </w:p>
    <w:p w14:paraId="43ABB7E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D、火灾报警控制器应能对其面板上的所有指示灯、显示器进行功能检查。</w:t>
      </w:r>
    </w:p>
    <w:p w14:paraId="382A4DF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E、主电源断电时应自动转换至备用电源供电，主电源恢复后应自动转换为主电源供电，并应分别显示主、备电源的状态。</w:t>
      </w:r>
    </w:p>
    <w:p w14:paraId="1B59FC8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（4）火灾显示盘：能接收来自火灾报警控制器的火灾报警信号，发出声、光报警信号，指 示火灾发生部位，并予保持；光报警信号在火灾报警控制器复位之前不能手动消除；声报警信号应能手动消除，并有消音指示，但再次有火灾报警信号输入时， 应能再启动。</w:t>
      </w:r>
    </w:p>
    <w:p w14:paraId="6A8E126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（5）消防联动控制设备：消防联动控制设备与输入/输出模块间的连线发生断路、短路时，应能在100s内发出与火灾报警信号有明显区别的声、光故障信号。</w:t>
      </w:r>
    </w:p>
    <w:p w14:paraId="33E279B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（6）可燃气体报警控制器：</w:t>
      </w:r>
    </w:p>
    <w:p w14:paraId="37A3A0E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A、可燃气体报警控制器应具备报警功能、故障报警功能、本机自检功能、显示与计时功能等；</w:t>
      </w:r>
    </w:p>
    <w:p w14:paraId="5E0337D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B、主电源断电时应自动转换至备用电源供电，主电源恢复后应自动转换为主电源供电，并应分别显示主、备电源状态。</w:t>
      </w:r>
    </w:p>
    <w:p w14:paraId="392674B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（7）火灾警报装置：应在接收火灾报警控制器输出的控制信号后，发出声警报或声、光警报。环境噪声大于60dB的场所，声警报的声压级应高于背景噪声15dB。</w:t>
      </w:r>
    </w:p>
    <w:p w14:paraId="5067ADB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3、消防供水设施的检测内容部分</w:t>
      </w:r>
    </w:p>
    <w:p w14:paraId="1B28C0C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（1）消防水池：水位及消防用水不被他用的设施应正常，补水设施应正常，寒冷地区防冻措施完好。</w:t>
      </w:r>
    </w:p>
    <w:p w14:paraId="33213B6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（2）消防水箱：水位及消防用水不被他用的设施应正常，消防出水管上的止回阀关闭时应严密，寒冷地区防冻措施应完好。</w:t>
      </w:r>
    </w:p>
    <w:p w14:paraId="219E021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（3）稳压泵、增压泵及气压水罐：进出口阀门应常开，启动运行应正常；启泵与停泵压力应符合设定值，压力表显示应正常。</w:t>
      </w:r>
    </w:p>
    <w:p w14:paraId="465A195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（4）消防水泵：消防水泵应有注明系统名称和编号的标志牌，进出口阀门应常开，标志牌应正确，压力表、试水阀及防超压装置等均应正常，启动运行应正常，应向消防控制设备反馈水泵状态的信号。</w:t>
      </w:r>
    </w:p>
    <w:p w14:paraId="5409435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（5）水泵控制柜：应有注明所属系统及编号的标志，按钮、指示灯及仪表应正常，应能按钮启停每台水泵，主泵不能正常投入运行时，应自动切换启动备用泵。</w:t>
      </w:r>
    </w:p>
    <w:p w14:paraId="706A8FD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（6）水泵接合器：应有注明所属系统和区域的标志牌，控制阀应常开，且启闭灵活；单向阀安装方向应正确，止回阀应严密关闭，寒冷地区防冻措施应完好。</w:t>
      </w:r>
    </w:p>
    <w:p w14:paraId="3A88E48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（7）消火栓、消防炮</w:t>
      </w:r>
    </w:p>
    <w:p w14:paraId="074E777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A、室内消火栓：消火栓箱应有明显标志，消火栓箱组件应齐全，箱门应开关灵活，开度应符合要求，消火栓的阀门应启闭灵活，栓口位置应便于连接水带。</w:t>
      </w:r>
    </w:p>
    <w:p w14:paraId="1F449E2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B、室外消火栓：阀门应启闭灵活，地下式消火栓应有明显标志，井内应无积水，寒冷地区防冻措施应完好。</w:t>
      </w:r>
    </w:p>
    <w:p w14:paraId="084F647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C、消防炮：控制阀应启闭灵活，回转与仰俯操作应灵活，操作角度应符合设定值，定位机构应可靠。</w:t>
      </w:r>
    </w:p>
    <w:p w14:paraId="0E26DB3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D、启泵按钮：外观完好，有透明罩保护，并配有击碎工具；被触发时，应直接启动消防泵，同时确认灯显示，按钮手动复位，确认灯随之复位。</w:t>
      </w:r>
    </w:p>
    <w:p w14:paraId="44CB2ED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E、室内消火栓：消火栓栓口处的静水压力应符合设计要求，且不应大于0.8MPa。触发启泵按钮时，消防水泵应启动。消防水泵启动后，栓口出水压力应符合设计要求，且不应大于0.5MPa。</w:t>
      </w:r>
    </w:p>
    <w:p w14:paraId="7A633E0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（8）自动喷水灭火系统：系统应设置在自动控制状态。</w:t>
      </w:r>
    </w:p>
    <w:p w14:paraId="244444D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A、湿式报警阀组：应有注明系统名称和保护区域的标志牌，压力表显示应符合设定值。</w:t>
      </w:r>
    </w:p>
    <w:p w14:paraId="14DCA67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控制阀应全部开启，并用锁具固定手轮，启闭标志应明显；采用信号阀时，反馈信号应正确。</w:t>
      </w:r>
    </w:p>
    <w:p w14:paraId="69DF331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报警阀等组件应灵敏可靠；压力开关动作应向消防控制设备反馈信号。</w:t>
      </w:r>
    </w:p>
    <w:p w14:paraId="223A39C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B、水流指示器：应有明显标志。信号阀应全开，并应反馈启闭信号。水流指示器的启动与复位应灵敏可靠，并同时反馈信号。</w:t>
      </w:r>
    </w:p>
    <w:p w14:paraId="596D264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（9）喷头：应符合设计选型。闭式喷头玻璃泡色标应符合设计要求。不得有变形和附着物、悬挂物。</w:t>
      </w:r>
    </w:p>
    <w:p w14:paraId="5277405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（10）末端试水装置：阀门、试水接头、压力表和排水管应正常。系统功能湿式系统</w:t>
      </w:r>
    </w:p>
    <w:p w14:paraId="54F6CEB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开启末端试水装置后，出水压力不应低于0.05Mpa。水流指示器、报警阀、压力开关应动作。报警阀动作后，距水力警铃3m远处的声压级不应低于70dB。应在开启末端试水装置后5min内自动启动消防水泵。消防控制设备应显示水流指示器、压力开关及消防水泵的反馈信号。</w:t>
      </w:r>
    </w:p>
    <w:p w14:paraId="092E8AF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 气体灭火系统的检测部分</w:t>
      </w:r>
    </w:p>
    <w:p w14:paraId="407A3A1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（1）瓶组与储罐：</w:t>
      </w:r>
    </w:p>
    <w:p w14:paraId="59DA730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A、组件应固定牢固，手动操作装置的铅封应完好，压力表的显示应正常。</w:t>
      </w:r>
    </w:p>
    <w:p w14:paraId="7BBFEDE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应注明灭火剂名称，储瓶应有编号，驱动装置和选择阀应有分区标志牌，选择阀手动启闭应灵活。</w:t>
      </w:r>
    </w:p>
    <w:p w14:paraId="7CEDE35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B、储瓶的称重装置应正常，并应有原始重量标记。</w:t>
      </w:r>
    </w:p>
    <w:p w14:paraId="207A3A2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C、二氧化碳储瓶及储罐，应在灭火剂的损失量达到设定值时发出报警信号。</w:t>
      </w:r>
    </w:p>
    <w:p w14:paraId="0DC89CA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D、低压二氧化碳储罐的制冷装置应正常运行，控制的温度和压力应符合设定值。</w:t>
      </w:r>
    </w:p>
    <w:p w14:paraId="3699D16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（2）喷嘴：喷口方向应正确、并应无堵塞现象。</w:t>
      </w:r>
    </w:p>
    <w:p w14:paraId="457CA6B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（3）气体灭火控制器：自动、手动转换功能应正常，无论装置处于自动或手动状态，手动操作启动均应有效。装置所处状态应有明显的标志或灯光显示，反馈信号显示应正常。</w:t>
      </w:r>
    </w:p>
    <w:p w14:paraId="3448355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（4）系统功能：防护区内和入口处的声光报警装置，入口处的安全标志、紧急启停按钮应正常。火灾报警控制器确认火灾报警后的延时启动时间应符合设定值。</w:t>
      </w:r>
    </w:p>
    <w:p w14:paraId="6B76FE2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5、防烟排烟系统的检测部分</w:t>
      </w:r>
    </w:p>
    <w:p w14:paraId="0753DFB3">
      <w:pPr>
        <w:spacing w:line="520" w:lineRule="exact"/>
        <w:ind w:firstLine="600" w:firstLineChars="200"/>
        <w:rPr>
          <w:rFonts w:ascii="仿宋" w:hAnsi="仿宋" w:eastAsia="仿宋"/>
          <w:color w:val="auto"/>
          <w:sz w:val="30"/>
          <w:szCs w:val="30"/>
        </w:rPr>
      </w:pPr>
      <w:r>
        <w:rPr>
          <w:rFonts w:hint="eastAsia" w:ascii="仿宋" w:hAnsi="仿宋" w:eastAsia="仿宋"/>
          <w:bCs/>
          <w:color w:val="auto"/>
          <w:sz w:val="30"/>
          <w:szCs w:val="30"/>
        </w:rPr>
        <w:t>（1）</w:t>
      </w:r>
      <w:r>
        <w:rPr>
          <w:rFonts w:hint="eastAsia" w:ascii="仿宋" w:hAnsi="仿宋" w:eastAsia="仿宋"/>
          <w:color w:val="auto"/>
          <w:sz w:val="30"/>
          <w:szCs w:val="30"/>
        </w:rPr>
        <w:t>控制柜</w:t>
      </w:r>
    </w:p>
    <w:p w14:paraId="18F5E25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A、应有注明系统名称和编号的标志。</w:t>
      </w:r>
    </w:p>
    <w:p w14:paraId="594B3BE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B、仪表、指示灯显示应正常，开关及控制按钮应灵活可靠。</w:t>
      </w:r>
    </w:p>
    <w:p w14:paraId="6E2CF3C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C、应有手动、自动切换装置。</w:t>
      </w:r>
    </w:p>
    <w:p w14:paraId="572647A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（2）风机</w:t>
      </w:r>
    </w:p>
    <w:p w14:paraId="23A4614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A、应有注明系统名称和编号的标志。</w:t>
      </w:r>
    </w:p>
    <w:p w14:paraId="23F0742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B、传动皮带的防护罩、新风入口的防护网应完好。</w:t>
      </w:r>
    </w:p>
    <w:p w14:paraId="7AE8FF0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C、启动运转平稳，叶轮旋转方向正确，无异常振动与声响。</w:t>
      </w:r>
    </w:p>
    <w:p w14:paraId="6588F1F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（3）送风阀：安装牢固。开启与复位操作应灵活可靠，关闭时应严密，反馈信号应正确。</w:t>
      </w:r>
    </w:p>
    <w:p w14:paraId="7FD8045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（4）系统功能：</w:t>
      </w:r>
    </w:p>
    <w:p w14:paraId="2F42E1F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A、应能自动和手动启动相应区域的送风阀、送风机，并向火灾报警控制器反馈信号。</w:t>
      </w:r>
    </w:p>
    <w:p w14:paraId="1501DC9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B、送风口的风速不宜大于7m/s。</w:t>
      </w:r>
    </w:p>
    <w:p w14:paraId="48245E9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C、防烟楼梯间的余压值应为40～50Pa，前室、合用前室的余压值应为25～30Pa。</w:t>
      </w:r>
    </w:p>
    <w:p w14:paraId="1E44AA1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6、应急照明系统的检测部分</w:t>
      </w:r>
    </w:p>
    <w:p w14:paraId="4BB9A207">
      <w:pPr>
        <w:spacing w:line="520" w:lineRule="exact"/>
        <w:ind w:firstLine="600" w:firstLineChars="200"/>
        <w:rPr>
          <w:rFonts w:ascii="仿宋" w:hAnsi="仿宋" w:eastAsia="仿宋"/>
          <w:color w:val="auto"/>
          <w:sz w:val="30"/>
          <w:szCs w:val="30"/>
        </w:rPr>
      </w:pPr>
      <w:r>
        <w:rPr>
          <w:rFonts w:hint="eastAsia" w:ascii="仿宋" w:hAnsi="仿宋" w:eastAsia="仿宋" w:cs="宋体"/>
          <w:color w:val="auto"/>
          <w:sz w:val="30"/>
          <w:szCs w:val="30"/>
        </w:rPr>
        <w:t>（1）应急照明：</w:t>
      </w:r>
    </w:p>
    <w:p w14:paraId="23DBE92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A、应牢固、无遮挡，状态指示灯正常。</w:t>
      </w:r>
    </w:p>
    <w:p w14:paraId="6B14E8B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B、切断正常供电电源后，应急工作状态的持续时间不应低于表1规定。</w:t>
      </w:r>
    </w:p>
    <w:p w14:paraId="17283703">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表1  应急照明工作状态的持续时间</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3015"/>
        <w:gridCol w:w="2840"/>
      </w:tblGrid>
      <w:tr w14:paraId="29EB3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14:paraId="69986ABC">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建筑类别</w:t>
            </w:r>
          </w:p>
        </w:tc>
        <w:tc>
          <w:tcPr>
            <w:tcW w:w="1769" w:type="pct"/>
            <w:tcBorders>
              <w:top w:val="single" w:color="auto" w:sz="4" w:space="0"/>
              <w:left w:val="single" w:color="auto" w:sz="4" w:space="0"/>
              <w:bottom w:val="single" w:color="auto" w:sz="4" w:space="0"/>
              <w:right w:val="single" w:color="auto" w:sz="4" w:space="0"/>
            </w:tcBorders>
            <w:vAlign w:val="center"/>
          </w:tcPr>
          <w:p w14:paraId="2B044D43">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应急疏散照明工作状态的持续时间（min）</w:t>
            </w:r>
          </w:p>
        </w:tc>
        <w:tc>
          <w:tcPr>
            <w:tcW w:w="1666" w:type="pct"/>
            <w:tcBorders>
              <w:top w:val="single" w:color="auto" w:sz="4" w:space="0"/>
              <w:left w:val="single" w:color="auto" w:sz="4" w:space="0"/>
              <w:bottom w:val="single" w:color="auto" w:sz="4" w:space="0"/>
              <w:right w:val="single" w:color="auto" w:sz="4" w:space="0"/>
            </w:tcBorders>
            <w:vAlign w:val="center"/>
          </w:tcPr>
          <w:p w14:paraId="165CDAD1">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消防应急照明工作状态的持续时间（min）</w:t>
            </w:r>
          </w:p>
        </w:tc>
      </w:tr>
      <w:tr w14:paraId="68F59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14:paraId="039300AA">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建筑高度超过100m的高层建筑</w:t>
            </w:r>
          </w:p>
        </w:tc>
        <w:tc>
          <w:tcPr>
            <w:tcW w:w="1769" w:type="pct"/>
            <w:tcBorders>
              <w:top w:val="single" w:color="auto" w:sz="4" w:space="0"/>
              <w:left w:val="single" w:color="auto" w:sz="4" w:space="0"/>
              <w:bottom w:val="single" w:color="auto" w:sz="4" w:space="0"/>
              <w:right w:val="single" w:color="auto" w:sz="4" w:space="0"/>
            </w:tcBorders>
            <w:vAlign w:val="center"/>
          </w:tcPr>
          <w:p w14:paraId="713ED880">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≥30</w:t>
            </w:r>
          </w:p>
        </w:tc>
        <w:tc>
          <w:tcPr>
            <w:tcW w:w="1666" w:type="pct"/>
            <w:tcBorders>
              <w:top w:val="single" w:color="auto" w:sz="4" w:space="0"/>
              <w:left w:val="single" w:color="auto" w:sz="4" w:space="0"/>
              <w:bottom w:val="single" w:color="auto" w:sz="4" w:space="0"/>
              <w:right w:val="single" w:color="auto" w:sz="4" w:space="0"/>
            </w:tcBorders>
            <w:vAlign w:val="center"/>
          </w:tcPr>
          <w:p w14:paraId="31A77D42">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≥90</w:t>
            </w:r>
          </w:p>
        </w:tc>
      </w:tr>
      <w:tr w14:paraId="65CAB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14:paraId="0BEDB0B4">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其他建筑</w:t>
            </w:r>
          </w:p>
        </w:tc>
        <w:tc>
          <w:tcPr>
            <w:tcW w:w="1769" w:type="pct"/>
            <w:tcBorders>
              <w:top w:val="single" w:color="auto" w:sz="4" w:space="0"/>
              <w:left w:val="single" w:color="auto" w:sz="4" w:space="0"/>
              <w:bottom w:val="single" w:color="auto" w:sz="4" w:space="0"/>
              <w:right w:val="single" w:color="auto" w:sz="4" w:space="0"/>
            </w:tcBorders>
            <w:vAlign w:val="center"/>
          </w:tcPr>
          <w:p w14:paraId="37444493">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≥20</w:t>
            </w:r>
          </w:p>
        </w:tc>
        <w:tc>
          <w:tcPr>
            <w:tcW w:w="1666" w:type="pct"/>
            <w:tcBorders>
              <w:top w:val="single" w:color="auto" w:sz="4" w:space="0"/>
              <w:left w:val="single" w:color="auto" w:sz="4" w:space="0"/>
              <w:bottom w:val="single" w:color="auto" w:sz="4" w:space="0"/>
              <w:right w:val="single" w:color="auto" w:sz="4" w:space="0"/>
            </w:tcBorders>
            <w:vAlign w:val="center"/>
          </w:tcPr>
          <w:p w14:paraId="48AA893C">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≥90</w:t>
            </w:r>
          </w:p>
        </w:tc>
      </w:tr>
    </w:tbl>
    <w:p w14:paraId="7FCD443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（2）疏散照明的地面照度不应低于0.5lx，地下服务疏散照明的地面照度不应低于5.0lx。</w:t>
      </w:r>
    </w:p>
    <w:p w14:paraId="5AE1960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（3）配电室、消防控制室、消防水泵房、防烟排烟机房、消防用电的蓄电池室、自备发电机房、电话总机房以及发生火灾时仍需坚持工作的其它房间，其工作面的照度，不应低于正常照明时的照度。</w:t>
      </w:r>
    </w:p>
    <w:p w14:paraId="5335889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（4）疏散指示标志：</w:t>
      </w:r>
    </w:p>
    <w:p w14:paraId="20929EC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A、应牢固、无遮挡，疏散方向的指示应正确清晰。</w:t>
      </w:r>
    </w:p>
    <w:p w14:paraId="7BB7B6C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B、辅助性自发光疏散指示标志，当正常光源变暗后，应自发光，持续时间不应低于20 min。</w:t>
      </w:r>
    </w:p>
    <w:p w14:paraId="1422C2F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C、灯光疏散指示标志，状态指示灯应正常。工作状态时，灯前通道地面中心的照度不应低于1.0lx。切断正常供电电源后，应急工作状态的持续时间不应低于表2规定。</w:t>
      </w:r>
    </w:p>
    <w:p w14:paraId="09307BAA">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表2  应急工作状态的持续时间表</w:t>
      </w:r>
    </w:p>
    <w:tbl>
      <w:tblPr>
        <w:tblStyle w:val="8"/>
        <w:tblW w:w="51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0"/>
        <w:gridCol w:w="4581"/>
      </w:tblGrid>
      <w:tr w14:paraId="0D1A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14:paraId="4CC05030">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建筑类别</w:t>
            </w:r>
          </w:p>
        </w:tc>
        <w:tc>
          <w:tcPr>
            <w:tcW w:w="2590" w:type="pct"/>
            <w:tcBorders>
              <w:top w:val="single" w:color="auto" w:sz="4" w:space="0"/>
              <w:left w:val="single" w:color="auto" w:sz="4" w:space="0"/>
              <w:bottom w:val="single" w:color="auto" w:sz="4" w:space="0"/>
              <w:right w:val="single" w:color="auto" w:sz="4" w:space="0"/>
            </w:tcBorders>
          </w:tcPr>
          <w:p w14:paraId="5C4C1A0B">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应急工作状态的持续时间（min）</w:t>
            </w:r>
          </w:p>
        </w:tc>
      </w:tr>
      <w:tr w14:paraId="4A671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14:paraId="1685159C">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建筑高度超过100m的高层建筑</w:t>
            </w:r>
          </w:p>
        </w:tc>
        <w:tc>
          <w:tcPr>
            <w:tcW w:w="2590" w:type="pct"/>
            <w:tcBorders>
              <w:top w:val="single" w:color="auto" w:sz="4" w:space="0"/>
              <w:left w:val="single" w:color="auto" w:sz="4" w:space="0"/>
              <w:bottom w:val="single" w:color="auto" w:sz="4" w:space="0"/>
              <w:right w:val="single" w:color="auto" w:sz="4" w:space="0"/>
            </w:tcBorders>
          </w:tcPr>
          <w:p w14:paraId="3C27D34F">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≥30</w:t>
            </w:r>
          </w:p>
        </w:tc>
      </w:tr>
      <w:tr w14:paraId="0212B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14:paraId="7153EA9D">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其他建筑</w:t>
            </w:r>
          </w:p>
        </w:tc>
        <w:tc>
          <w:tcPr>
            <w:tcW w:w="2590" w:type="pct"/>
            <w:tcBorders>
              <w:top w:val="single" w:color="auto" w:sz="4" w:space="0"/>
              <w:left w:val="single" w:color="auto" w:sz="4" w:space="0"/>
              <w:bottom w:val="single" w:color="auto" w:sz="4" w:space="0"/>
              <w:right w:val="single" w:color="auto" w:sz="4" w:space="0"/>
            </w:tcBorders>
          </w:tcPr>
          <w:p w14:paraId="3CF8124C">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≥20</w:t>
            </w:r>
          </w:p>
        </w:tc>
      </w:tr>
    </w:tbl>
    <w:p w14:paraId="679B33A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7、消防应急广播系统的检测部分</w:t>
      </w:r>
    </w:p>
    <w:p w14:paraId="1F8CC6A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（1）扩音机：仪表、指示灯显示正常，开关和控制按钮动作灵活。监听功能正常。</w:t>
      </w:r>
    </w:p>
    <w:p w14:paraId="0A055A0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（2）扬声器：外观完好，音质清晰。</w:t>
      </w:r>
    </w:p>
    <w:p w14:paraId="3430451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（3）系统功能：</w:t>
      </w:r>
    </w:p>
    <w:p w14:paraId="4DA2E34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A、应能用话筒播音。</w:t>
      </w:r>
    </w:p>
    <w:p w14:paraId="0EECAF0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B、应在火灾报警后，按设定的控制程序自动启动火灾应急广播。</w:t>
      </w:r>
    </w:p>
    <w:p w14:paraId="48B7F6A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C、播音区域应正确、音质应清晰。环境噪声大于60dB的场所，火灾应急广播应高于背景噪声15dB。</w:t>
      </w:r>
    </w:p>
    <w:p w14:paraId="141226C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8、消防专用电话的检测内容部分</w:t>
      </w:r>
    </w:p>
    <w:p w14:paraId="7FBBC8D3">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（1）消防专用电话分机应以直通方式呼叫。</w:t>
      </w:r>
    </w:p>
    <w:p w14:paraId="128F730B">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（2）消防控制室应能接受插孔电话的呼叫。</w:t>
      </w:r>
    </w:p>
    <w:p w14:paraId="4AA29183">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（3）消防控制室、消防值班室、企业消防站等处应设外线电话。</w:t>
      </w:r>
    </w:p>
    <w:p w14:paraId="257C37AE">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（4）通话音质应清晰。</w:t>
      </w:r>
    </w:p>
    <w:p w14:paraId="6CCFB17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9、防火分隔设施的检测部分</w:t>
      </w:r>
    </w:p>
    <w:p w14:paraId="644A44A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（1）防火门：</w:t>
      </w:r>
    </w:p>
    <w:p w14:paraId="3737B03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A、组件齐全完好，应启闭灵活、关闭严密。</w:t>
      </w:r>
    </w:p>
    <w:p w14:paraId="1086CC6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B、防火门应能自动闭合，双扇防火门应按顺序关闭；关闭后应能从内、外两侧人为开启。</w:t>
      </w:r>
    </w:p>
    <w:p w14:paraId="419DB55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C、常闭防火门开启后应能自动闭合。</w:t>
      </w:r>
    </w:p>
    <w:p w14:paraId="236462A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D、电动常开防火门，应在火灾报警后自动关闭并反馈信号。</w:t>
      </w:r>
    </w:p>
    <w:p w14:paraId="29E836A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E、设置在疏散通道上、并设有出入口控制系统的防火门，应能自动和手动解除出入口控制系统。</w:t>
      </w:r>
    </w:p>
    <w:p w14:paraId="63054E2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（2）防火卷帘：</w:t>
      </w:r>
    </w:p>
    <w:p w14:paraId="64ED45C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A、组件应齐全完好，紧固件应无松动现象。</w:t>
      </w:r>
    </w:p>
    <w:p w14:paraId="4069CD3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B、现场手动、远程手动、自动控制和机械操作应正常，关闭时应严密。</w:t>
      </w:r>
    </w:p>
    <w:p w14:paraId="6A1B283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C、运行时应平稳顺畅、无卡涩现象。</w:t>
      </w:r>
    </w:p>
    <w:p w14:paraId="409721D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D、安装在疏散通道上的防火卷帘，应在一个相关探测器报警后下降至距地面1.8米处停止；另一个相关探测器报警后，卷帘应继续下降至地面，并向火灾报警控制器反馈信号。</w:t>
      </w:r>
    </w:p>
    <w:p w14:paraId="12287B9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E、仅用于防火分隔的防火卷帘，火灾报警后，应直接下降至地面，并应向火灾报警控制器反馈信号。</w:t>
      </w:r>
    </w:p>
    <w:p w14:paraId="3DB417A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（3）电动防火阀：</w:t>
      </w:r>
    </w:p>
    <w:p w14:paraId="00C1F84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A、应完好无损，开启与复位应灵活可靠，关闭时应严密。</w:t>
      </w:r>
    </w:p>
    <w:p w14:paraId="3996A8E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B、应在相关火灾探测器动作后自动关闭并反馈信号。</w:t>
      </w:r>
    </w:p>
    <w:p w14:paraId="2626223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10、消防电梯的检测部分</w:t>
      </w:r>
    </w:p>
    <w:p w14:paraId="1402A763">
      <w:pPr>
        <w:spacing w:line="520" w:lineRule="exact"/>
        <w:ind w:firstLine="600" w:firstLineChars="200"/>
        <w:rPr>
          <w:rFonts w:ascii="仿宋" w:hAnsi="仿宋" w:eastAsia="仿宋"/>
          <w:b/>
          <w:color w:val="auto"/>
          <w:sz w:val="30"/>
          <w:szCs w:val="30"/>
        </w:rPr>
      </w:pPr>
      <w:r>
        <w:rPr>
          <w:rFonts w:hint="eastAsia" w:ascii="仿宋" w:hAnsi="仿宋" w:eastAsia="仿宋"/>
          <w:color w:val="auto"/>
          <w:sz w:val="30"/>
          <w:szCs w:val="30"/>
        </w:rPr>
        <w:t>（1）首层的消防电梯迫降按钮，应用透明罩保护，当触发按钮时，能控制消防电梯下降至首层，此时其他楼层按钮不能呼叫控制消防电梯，只能在轿厢内控制。</w:t>
      </w:r>
    </w:p>
    <w:p w14:paraId="3E59275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（2）轿厢内的专用对讲电话应正常。</w:t>
      </w:r>
    </w:p>
    <w:p w14:paraId="2E695E2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（3）从首层到顶层的运行时间不应超过60s。</w:t>
      </w:r>
    </w:p>
    <w:p w14:paraId="3CF5EBC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（4）联动控制的消防电梯，应由消防控制设备手动和自动控制电梯回落首层，并接收反馈信号。</w:t>
      </w:r>
    </w:p>
    <w:p w14:paraId="253E50A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11、灭火器的检测部分</w:t>
      </w:r>
    </w:p>
    <w:p w14:paraId="408995C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（1）选型、数量及放置地点应符合设计要求。</w:t>
      </w:r>
    </w:p>
    <w:p w14:paraId="28A10F2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（2）应在有效期内使用，经过维修的应有维修标志；</w:t>
      </w:r>
    </w:p>
    <w:p w14:paraId="02F584D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（3）筒体应无明显锈蚀和凹凸等损伤，手柄、插销、铅封、压力表等组件应齐全完好；灭火器型号标识应清晰、完整。</w:t>
      </w:r>
    </w:p>
    <w:p w14:paraId="5C982FC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（4）压力表指针应在绿色区域范围内。</w:t>
      </w:r>
    </w:p>
    <w:p w14:paraId="7C6767B1">
      <w:pPr>
        <w:spacing w:line="520" w:lineRule="exact"/>
        <w:ind w:firstLine="600" w:firstLineChars="200"/>
        <w:rPr>
          <w:rFonts w:ascii="仿宋" w:hAnsi="仿宋" w:eastAsia="仿宋"/>
          <w:bCs/>
          <w:color w:val="auto"/>
          <w:sz w:val="30"/>
          <w:szCs w:val="30"/>
        </w:rPr>
      </w:pPr>
      <w:r>
        <w:rPr>
          <w:rFonts w:hint="eastAsia" w:ascii="仿宋" w:hAnsi="仿宋" w:eastAsia="仿宋"/>
          <w:bCs/>
          <w:color w:val="auto"/>
          <w:sz w:val="30"/>
          <w:szCs w:val="30"/>
        </w:rPr>
        <w:t>（三）、维修</w:t>
      </w:r>
    </w:p>
    <w:p w14:paraId="05E29CC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1、从事消防设施设备维修的人员，应当通过消防行业特有工种职业技能鉴定，持有技师以上等级职业资格证书。</w:t>
      </w:r>
    </w:p>
    <w:p w14:paraId="27F527A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w:t>
      </w:r>
      <w:r>
        <w:rPr>
          <w:rFonts w:ascii="仿宋" w:hAnsi="仿宋" w:eastAsia="仿宋"/>
          <w:color w:val="auto"/>
          <w:sz w:val="30"/>
          <w:szCs w:val="30"/>
        </w:rPr>
        <w:t>乙方在接到甲方电话或书面通知后，必须派现场维保</w:t>
      </w:r>
      <w:r>
        <w:rPr>
          <w:rFonts w:hint="eastAsia" w:ascii="仿宋" w:hAnsi="仿宋" w:eastAsia="仿宋"/>
          <w:color w:val="auto"/>
          <w:sz w:val="30"/>
          <w:szCs w:val="30"/>
        </w:rPr>
        <w:t>技术员</w:t>
      </w:r>
      <w:r>
        <w:rPr>
          <w:rFonts w:ascii="仿宋" w:hAnsi="仿宋" w:eastAsia="仿宋"/>
          <w:color w:val="auto"/>
          <w:sz w:val="30"/>
          <w:szCs w:val="30"/>
        </w:rPr>
        <w:t>于</w:t>
      </w:r>
      <w:r>
        <w:rPr>
          <w:rFonts w:hint="eastAsia" w:ascii="仿宋" w:hAnsi="仿宋" w:eastAsia="仿宋"/>
          <w:color w:val="auto"/>
          <w:sz w:val="30"/>
          <w:szCs w:val="30"/>
          <w:u w:val="single"/>
        </w:rPr>
        <w:t xml:space="preserve"> 60 </w:t>
      </w:r>
      <w:r>
        <w:rPr>
          <w:rFonts w:hint="eastAsia" w:ascii="仿宋" w:hAnsi="仿宋" w:eastAsia="仿宋"/>
          <w:color w:val="auto"/>
          <w:sz w:val="30"/>
          <w:szCs w:val="30"/>
        </w:rPr>
        <w:t>分钟</w:t>
      </w:r>
      <w:r>
        <w:rPr>
          <w:rFonts w:ascii="仿宋" w:hAnsi="仿宋" w:eastAsia="仿宋"/>
          <w:color w:val="auto"/>
          <w:sz w:val="30"/>
          <w:szCs w:val="30"/>
        </w:rPr>
        <w:t>内到达现场</w:t>
      </w:r>
      <w:r>
        <w:rPr>
          <w:rFonts w:hint="eastAsia" w:ascii="仿宋" w:hAnsi="仿宋" w:eastAsia="仿宋"/>
          <w:color w:val="auto"/>
          <w:sz w:val="30"/>
          <w:szCs w:val="30"/>
        </w:rPr>
        <w:t>，单位</w:t>
      </w:r>
      <w:r>
        <w:rPr>
          <w:rFonts w:ascii="仿宋" w:hAnsi="仿宋" w:eastAsia="仿宋"/>
          <w:color w:val="auto"/>
          <w:sz w:val="30"/>
          <w:szCs w:val="30"/>
        </w:rPr>
        <w:t>技术负责人</w:t>
      </w:r>
      <w:r>
        <w:rPr>
          <w:rFonts w:hint="eastAsia" w:ascii="仿宋" w:hAnsi="仿宋" w:eastAsia="仿宋"/>
          <w:color w:val="auto"/>
          <w:sz w:val="30"/>
          <w:szCs w:val="30"/>
        </w:rPr>
        <w:t>2小时内到达现场</w:t>
      </w:r>
      <w:r>
        <w:rPr>
          <w:rFonts w:ascii="仿宋" w:hAnsi="仿宋" w:eastAsia="仿宋"/>
          <w:color w:val="auto"/>
          <w:sz w:val="30"/>
          <w:szCs w:val="30"/>
        </w:rPr>
        <w:t>并及时处理</w:t>
      </w:r>
      <w:r>
        <w:rPr>
          <w:rFonts w:hint="eastAsia" w:ascii="仿宋" w:hAnsi="仿宋" w:eastAsia="仿宋"/>
          <w:color w:val="auto"/>
          <w:sz w:val="30"/>
          <w:szCs w:val="30"/>
        </w:rPr>
        <w:t>，</w:t>
      </w:r>
      <w:r>
        <w:rPr>
          <w:rFonts w:ascii="仿宋" w:hAnsi="仿宋" w:eastAsia="仿宋"/>
          <w:color w:val="auto"/>
          <w:sz w:val="30"/>
          <w:szCs w:val="30"/>
        </w:rPr>
        <w:t>承诺接到从报修到修复完好不超过</w:t>
      </w:r>
      <w:r>
        <w:rPr>
          <w:rFonts w:hint="eastAsia" w:ascii="仿宋" w:hAnsi="仿宋" w:eastAsia="仿宋"/>
          <w:color w:val="auto"/>
          <w:sz w:val="30"/>
          <w:szCs w:val="30"/>
        </w:rPr>
        <w:t>8小时</w:t>
      </w:r>
      <w:r>
        <w:rPr>
          <w:rFonts w:ascii="仿宋" w:hAnsi="仿宋" w:eastAsia="仿宋"/>
          <w:color w:val="auto"/>
          <w:sz w:val="30"/>
          <w:szCs w:val="30"/>
        </w:rPr>
        <w:t>；若遇到疑难设备故障问题或者是特殊材料修复期为</w:t>
      </w:r>
      <w:r>
        <w:rPr>
          <w:rFonts w:hint="eastAsia" w:ascii="仿宋" w:hAnsi="仿宋" w:eastAsia="仿宋"/>
          <w:color w:val="auto"/>
          <w:sz w:val="30"/>
          <w:szCs w:val="30"/>
          <w:u w:val="single"/>
        </w:rPr>
        <w:t xml:space="preserve"> 5个 </w:t>
      </w:r>
      <w:r>
        <w:rPr>
          <w:rFonts w:hint="eastAsia" w:ascii="仿宋" w:hAnsi="仿宋" w:eastAsia="仿宋"/>
          <w:color w:val="auto"/>
          <w:sz w:val="30"/>
          <w:szCs w:val="30"/>
        </w:rPr>
        <w:t>自然</w:t>
      </w:r>
      <w:r>
        <w:rPr>
          <w:rFonts w:ascii="仿宋" w:hAnsi="仿宋" w:eastAsia="仿宋"/>
          <w:color w:val="auto"/>
          <w:sz w:val="30"/>
          <w:szCs w:val="30"/>
        </w:rPr>
        <w:t>日</w:t>
      </w:r>
      <w:r>
        <w:rPr>
          <w:rFonts w:hint="eastAsia" w:ascii="仿宋" w:hAnsi="仿宋" w:eastAsia="仿宋"/>
          <w:color w:val="auto"/>
          <w:sz w:val="30"/>
          <w:szCs w:val="30"/>
        </w:rPr>
        <w:t>（包括甲方付费部分）。</w:t>
      </w:r>
    </w:p>
    <w:p w14:paraId="7BAFEBF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3、值班、巡查、检测、灭火演练中发现住宅消防设施存在问题和故障的，相关人员应如实填写《消防设施设备故障追踪记录表》，并向物业公司消防安全管理人报告，及时通知维保单位维修。</w:t>
      </w:r>
    </w:p>
    <w:p w14:paraId="18BC339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项目消防安全管理人对消防设施设备存在的问题和故障，应立即通知维修人员进行维修；维修期间，应采取确保消防安全的有效措施；故障排除后应进行相应功能试验并经单位消防安全管理人检查确认；故障及处理情况应记入《消防设施设备故障追踪记录表》。</w:t>
      </w:r>
    </w:p>
    <w:p w14:paraId="06080EEB">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（四）、保养</w:t>
      </w:r>
    </w:p>
    <w:p w14:paraId="1A6B0C0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1、基本要求</w:t>
      </w:r>
    </w:p>
    <w:p w14:paraId="7B600C5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（1）对已建立台帐的设备，如进行了大中修及以上等级的维修时，需把维修情况登记到《设备台帐》中。</w:t>
      </w:r>
    </w:p>
    <w:p w14:paraId="1E62107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（2）对定期保养的项目按审批通过的《物业服务中心年度维修保养计划》实施。</w:t>
      </w:r>
    </w:p>
    <w:p w14:paraId="6C93BAE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（3）确保消防设施设备处在良好工作状态，设施功能完备无损坏。</w:t>
      </w:r>
    </w:p>
    <w:p w14:paraId="34A6ABD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（4）确保消防专用工具配备齐全，消防室内有报警记录或原始打印记录单；确保消防报警打印机工作正常。</w:t>
      </w:r>
    </w:p>
    <w:p w14:paraId="158F982C">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 如实填写《设备设施维修保养记录表》。</w:t>
      </w:r>
    </w:p>
    <w:p w14:paraId="1AAA98F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2、电动机维修保养：</w:t>
      </w:r>
    </w:p>
    <w:p w14:paraId="0F0E43D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 一级保养：(周期：每季度)</w:t>
      </w:r>
    </w:p>
    <w:p w14:paraId="20E7E5E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A、紧固各类紧固件，使用地阻仪检测电机接地阻值应小于10欧，否则应做相应处理后重新检查；检查各类紧固件是否锈蚀，若有锈蚀应更换；</w:t>
      </w:r>
    </w:p>
    <w:p w14:paraId="4D17524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B、水泵投入运行后，使用钳形表检测三相电流，平衡度小于2%，并不超过额定值； C、检查电缆头，接线栓头是否牢固可靠，否则应做相应处理；</w:t>
      </w:r>
    </w:p>
    <w:p w14:paraId="130C48F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C、用500V摇表检测电动机线圈对地绝缘电阻是否在0．5MΩ以上；相间绝缘电阻是否在2MΩ以上，否则应烘干处理或修复；</w:t>
      </w:r>
    </w:p>
    <w:p w14:paraId="6672CDC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D、清洁电动机外壳；</w:t>
      </w:r>
    </w:p>
    <w:p w14:paraId="68F8B5B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（2）二级保养：(周期：每年)</w:t>
      </w:r>
    </w:p>
    <w:p w14:paraId="35F686F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A、完成全部一级保养内容。</w:t>
      </w:r>
    </w:p>
    <w:p w14:paraId="2B9B140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B、检查电动机轴承有无阻滞或异常声响，如有则应更换同型号规格轴承；</w:t>
      </w:r>
    </w:p>
    <w:p w14:paraId="58F8C57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C、检查电动机风叶有无碰壳现象，如有则应修整处理；</w:t>
      </w:r>
    </w:p>
    <w:p w14:paraId="73A50B1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D、检查电动机是否脱漆严重，如脱漆严重则应彻底铲除脱落层油漆后重新油漆。</w:t>
      </w:r>
    </w:p>
    <w:p w14:paraId="3C16373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3、消防水泵维修保养：</w:t>
      </w:r>
    </w:p>
    <w:p w14:paraId="42C7FEB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（1）一级保养：(周期：每季度)</w:t>
      </w:r>
    </w:p>
    <w:p w14:paraId="4B63097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A、检查水泵轴承是否灵活，如有阻滞现象，则应加注润滑油；如有异常摩擦声响，则应更换同型号规格轴承，清洁水泵外表；</w:t>
      </w:r>
    </w:p>
    <w:p w14:paraId="30EEE6C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B、检查电动机与水泵弹性联轴器有无损坏，如损坏则应更换,检查水泵机组螺栓是否紧固，如松弛则应拧紧；检查各类紧固件是否锈蚀，若有锈蚀应更换；</w:t>
      </w:r>
    </w:p>
    <w:p w14:paraId="3B10CD9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C、润滑油质、油量应符合要求，不足应及时加油，如发现油质变色、有铁屑应将润滑油全部更换。</w:t>
      </w:r>
    </w:p>
    <w:p w14:paraId="66EFB7E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盘根（水封）处是否漏水，如是则应加压盘根（更换水封）；生活水泵运行无异响，无异常震动，水泵轴无泄漏。（正常机密封泄漏应小于３滴／分，填料密封泄漏应处于10滴／分至20滴/分之间）润滑油箱内不能混入水分，油位在油标范围内，具体操作参考水泵说明书。</w:t>
      </w:r>
    </w:p>
    <w:p w14:paraId="38F9D01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E、清洁水泵外表；</w:t>
      </w:r>
    </w:p>
    <w:p w14:paraId="2DEED0B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（2）二级保养：(周期：每年)</w:t>
      </w:r>
    </w:p>
    <w:p w14:paraId="2037C70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A、完成全部一级保养内容。</w:t>
      </w:r>
    </w:p>
    <w:p w14:paraId="2D8E9FA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B、检查水泵轴承是否灵活，如有阻滞现象，则应加注润滑油；如有异常磨擦声响，则应更换同型号规格轴承；    </w:t>
      </w:r>
    </w:p>
    <w:p w14:paraId="4842805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C、转动水泵轴，如果有卡住、碰撞现象，则应拆换同规格水泵叶轮；如果轴键槽损坏严重，则应更换同规格水泵轴；</w:t>
      </w:r>
    </w:p>
    <w:p w14:paraId="3D92B57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D、如水泵脱漆或锈蚀严重，则应彻底铲除脱落层油漆，重新刷上油漆。</w:t>
      </w:r>
    </w:p>
    <w:p w14:paraId="5425C6E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E、检查水泵机组螺栓是否紧固，如松弛则应拧紧；检查各类紧固件是否锈蚀，若有锈蚀应更换。</w:t>
      </w:r>
    </w:p>
    <w:p w14:paraId="3840BBE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4、消防泵控制柜维修保养</w:t>
      </w:r>
    </w:p>
    <w:p w14:paraId="1FDF80B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（1）一级保养：(周期：每季)</w:t>
      </w:r>
    </w:p>
    <w:p w14:paraId="51CA13F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A检查水泵动力配电柜中各电器有无过热、受潮、发霉现象，有无损坏情况，若有损坏应更换。</w:t>
      </w:r>
    </w:p>
    <w:p w14:paraId="14D68F9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B检查指示灯是否完好，若有损坏应更换。</w:t>
      </w:r>
    </w:p>
    <w:p w14:paraId="5A22DBA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C紧固二次回路。</w:t>
      </w:r>
    </w:p>
    <w:p w14:paraId="4A24D38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D检查并确保各部件功能正常。</w:t>
      </w:r>
    </w:p>
    <w:p w14:paraId="2C4C23C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（2）二级保养：(周期：每年)</w:t>
      </w:r>
    </w:p>
    <w:p w14:paraId="3F2642D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A、完成全部一级保养内容。</w:t>
      </w:r>
    </w:p>
    <w:p w14:paraId="018A930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B、用压缩空气、干净干抹布清洁柜内所有元器件，清洁控制柜外壳，务必使柜内无积尘、无污物；</w:t>
      </w:r>
    </w:p>
    <w:p w14:paraId="0E4729D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C、检查、紧固所有接线头，对于烧蚀严重的接线头应更换；</w:t>
      </w:r>
    </w:p>
    <w:p w14:paraId="1529916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D、检查柜内所有线头的号码管是否清晰，是否有脱落现象，如是则应整改；</w:t>
      </w:r>
    </w:p>
    <w:p w14:paraId="27EF1B0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E、交流接触器维修保养：</w:t>
      </w:r>
    </w:p>
    <w:p w14:paraId="3947351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a.清除灭弧罩内的碳化物和金属颗粒；</w:t>
      </w:r>
    </w:p>
    <w:p w14:paraId="68E90EE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b.清除触头表面及四周的污物(但不要修锉触头)，烧蚀严重不能正常工作的触头应更换；</w:t>
      </w:r>
    </w:p>
    <w:p w14:paraId="06DA3B0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c.清洁铁芯上的油污及脏物；</w:t>
      </w:r>
    </w:p>
    <w:p w14:paraId="58A0DE5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d.检查复位调簧情况；</w:t>
      </w:r>
    </w:p>
    <w:p w14:paraId="5CB0D2A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e.拧紧所有紧固件。</w:t>
      </w:r>
    </w:p>
    <w:p w14:paraId="3F2CB2F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F、可控硅软启动器维修保养：</w:t>
      </w:r>
    </w:p>
    <w:p w14:paraId="2E66A96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a.不可用摇表测量绝缘电阻。</w:t>
      </w:r>
    </w:p>
    <w:p w14:paraId="6F5C436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b.外壳应可靠接地，如有松脱或锈蚀则应在除锈处理后，拧紧接地线。</w:t>
      </w:r>
    </w:p>
    <w:p w14:paraId="40F86E7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c.可控硅软启动器不可空载试运行。</w:t>
      </w:r>
    </w:p>
    <w:p w14:paraId="598DF5C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G、热继电器维修保养：</w:t>
      </w:r>
    </w:p>
    <w:p w14:paraId="05776F9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a.检查热继电器上的绝缘盖板是否完整无损，如损坏则应更换；</w:t>
      </w:r>
    </w:p>
    <w:p w14:paraId="4693778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b.检查热继电器的导线接头处有无过热痕迹或烧伤，如有则整修处理，处理后达不到要求的应更换。</w:t>
      </w:r>
    </w:p>
    <w:p w14:paraId="4436DFB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H、自动空气开关维修保养：</w:t>
      </w:r>
    </w:p>
    <w:p w14:paraId="2D506E1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a.用500V摇表测量绝缘电阻，应不低于lOO兆欧，否则应烘干处理；</w:t>
      </w:r>
    </w:p>
    <w:p w14:paraId="7B9B07B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b.清除灭弧罩内的碳化物或金属颗粒，如果灭弧罩破裂则应更换；</w:t>
      </w:r>
    </w:p>
    <w:p w14:paraId="4EA202A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c.自动空气开关在闭合或断开过程中，其可动部分与灭弧室的零头应无卡住现象；</w:t>
      </w:r>
    </w:p>
    <w:p w14:paraId="5A931F5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d.检查触头表面是否有小的金属颗粒，如有则应将其清除，但不能修锉，只能轻轻擦拭。</w:t>
      </w:r>
    </w:p>
    <w:p w14:paraId="07D306C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I、中间继电器、信号继电器维修保养：对中间继电器、信号继电器应做模拟试验，检查二者的动作是否可靠，输出信号是否正确，如有问题则应更换同型号的中间继电器、信号继电器。</w:t>
      </w:r>
    </w:p>
    <w:p w14:paraId="41F4544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J、信号灯、指示仪表维修保养：</w:t>
      </w:r>
    </w:p>
    <w:p w14:paraId="29F73CF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a.检查各信号灯是否正常，如有不亮则应更换相同规格的信号灯；</w:t>
      </w:r>
    </w:p>
    <w:p w14:paraId="66529E9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b.检查各指示仪表指示是否正确，如有偏差则应作适当调整，调整后偏差仍较大的则应更换。</w:t>
      </w:r>
    </w:p>
    <w:p w14:paraId="59B9BDE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K、远传压力表维修保养：</w:t>
      </w:r>
    </w:p>
    <w:p w14:paraId="5C6BE2D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a.检查表内是否有积水，如有则应干燥处理；</w:t>
      </w:r>
    </w:p>
    <w:p w14:paraId="74DCC20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b.检查信号线接头处是否腐蚀，如腐蚀较严重则应重新焊接；</w:t>
      </w:r>
    </w:p>
    <w:p w14:paraId="63815B6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c.偏差很大或信号线腐烂的远传压力表应拆换。</w:t>
      </w:r>
    </w:p>
    <w:p w14:paraId="31BC91F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 闸阀、蝶阀、截止阀、减压阀、止回阀、浮球阀、液位控制器维修保养。（周期：每年）</w:t>
      </w:r>
    </w:p>
    <w:p w14:paraId="10835C5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（1）闸阀、蝶阀、截止阀维修保养：</w:t>
      </w:r>
    </w:p>
    <w:p w14:paraId="6F6AF87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A、检查密封胶垫处是否漏水，如漏水则应更换密封胶垫；</w:t>
      </w:r>
    </w:p>
    <w:p w14:paraId="143581D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B、检查压黄油麻绳处是否漏水，如漏水则应重新加压黄油麻油；</w:t>
      </w:r>
    </w:p>
    <w:p w14:paraId="65FE0BC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C、对闸阀阀杆加黄油润滑；</w:t>
      </w:r>
    </w:p>
    <w:p w14:paraId="1DBB98E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D、对锈蚀严重的闸阀(明装)应在彻底铲除底漆后重新油漆。</w:t>
      </w:r>
    </w:p>
    <w:p w14:paraId="45A3469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（2）减压阀、止回阀维修保养：</w:t>
      </w:r>
    </w:p>
    <w:p w14:paraId="6F59CDF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A、检查减压阀、止回阀密封胶垫是否损坏，如损坏则应更换；</w:t>
      </w:r>
    </w:p>
    <w:p w14:paraId="19ACBCA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B、检查减压阀、止回阀弹簧弹力是否足够，如太软则应更换同规格弹簧；</w:t>
      </w:r>
    </w:p>
    <w:p w14:paraId="199C7F7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C、检查减压阀、止回阀油漆是否脱落，如脱落严重则应处理后重新油漆；</w:t>
      </w:r>
    </w:p>
    <w:p w14:paraId="1BA298C2">
      <w:pPr>
        <w:spacing w:line="520" w:lineRule="exact"/>
        <w:ind w:left="298" w:leftChars="142" w:firstLine="300" w:firstLineChars="100"/>
        <w:rPr>
          <w:rFonts w:ascii="仿宋" w:hAnsi="仿宋" w:eastAsia="仿宋"/>
          <w:color w:val="auto"/>
          <w:sz w:val="30"/>
          <w:szCs w:val="30"/>
        </w:rPr>
      </w:pPr>
      <w:r>
        <w:rPr>
          <w:rFonts w:hint="eastAsia" w:ascii="仿宋" w:hAnsi="仿宋" w:eastAsia="仿宋"/>
          <w:color w:val="auto"/>
          <w:sz w:val="30"/>
          <w:szCs w:val="30"/>
        </w:rPr>
        <w:t>D、检查减压阀、止回阀功能是否正常，如有清除阀内异</w:t>
      </w:r>
    </w:p>
    <w:p w14:paraId="6BC6DFE4">
      <w:pPr>
        <w:spacing w:line="520" w:lineRule="exact"/>
        <w:ind w:left="298" w:leftChars="142" w:firstLine="300" w:firstLineChars="100"/>
        <w:rPr>
          <w:rFonts w:ascii="仿宋" w:hAnsi="仿宋" w:eastAsia="仿宋"/>
          <w:color w:val="auto"/>
          <w:sz w:val="30"/>
          <w:szCs w:val="30"/>
        </w:rPr>
      </w:pPr>
      <w:r>
        <w:rPr>
          <w:rFonts w:hint="eastAsia" w:ascii="仿宋" w:hAnsi="仿宋" w:eastAsia="仿宋"/>
          <w:color w:val="auto"/>
          <w:sz w:val="30"/>
          <w:szCs w:val="30"/>
        </w:rPr>
        <w:t>（3）浮球阀维修保养：</w:t>
      </w:r>
    </w:p>
    <w:p w14:paraId="4F169D2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A、检查浮球阀密封胶垫是否老化，如老化则应更换；</w:t>
      </w:r>
    </w:p>
    <w:p w14:paraId="107DCB4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B、检查浮球阀连杆是否弯曲，如弯曲则应校直；</w:t>
      </w:r>
    </w:p>
    <w:p w14:paraId="5CABEC2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C、检查浮球阀连杆插销是否磨损严重，如磨损严重则应更换。</w:t>
      </w:r>
    </w:p>
    <w:p w14:paraId="55EB03C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（4）液位控制器维修保养：</w:t>
      </w:r>
    </w:p>
    <w:p w14:paraId="108B35B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A、检查密封圈、密封胶垫是否损坏，如损坏则应更换；</w:t>
      </w:r>
    </w:p>
    <w:p w14:paraId="6400ECA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B、清除压力室内污物，疏通控制水道；</w:t>
      </w:r>
    </w:p>
    <w:p w14:paraId="602CE41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C、检查控制杆两端螺母是否紧固，如松弛则应拧紧；</w:t>
      </w:r>
    </w:p>
    <w:p w14:paraId="148D1E0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D、紧固所有螺母。</w:t>
      </w:r>
    </w:p>
    <w:p w14:paraId="4EE9FF43">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6、风机维修保养</w:t>
      </w:r>
    </w:p>
    <w:p w14:paraId="32F3B036">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（1）、一级保养：（周期：季）</w:t>
      </w:r>
    </w:p>
    <w:p w14:paraId="4C499F9B">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A、检查风机外观，有无机械损伤、掉漆现象，若有应做相应处理。</w:t>
      </w:r>
    </w:p>
    <w:p w14:paraId="0327D30D">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B、紧固各类紧固件。</w:t>
      </w:r>
    </w:p>
    <w:p w14:paraId="1DBB3E7C">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C、调整皮带的松紧度，用手盘动风轮，观察转动是否平稳，若不平稳应检查分析原因并在相应处理，必要时进行更换。</w:t>
      </w:r>
    </w:p>
    <w:p w14:paraId="463668DC">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D、向转动部位填加润滑油，以保证联轴器及轴承的灵活性和稳定性。</w:t>
      </w:r>
    </w:p>
    <w:p w14:paraId="42D02FEB">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E、检查调节阀机械开闭动作是否灵活、可靠，开闭角度标志是否清晰。</w:t>
      </w:r>
    </w:p>
    <w:p w14:paraId="110493B4">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F、手动开机检查电压、电流表指示是否正常，风机各部件运转有无异声，三相电流值是否平衡。</w:t>
      </w:r>
    </w:p>
    <w:p w14:paraId="732451C7">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G、对检查发现的缺陷逐一修复。</w:t>
      </w:r>
    </w:p>
    <w:p w14:paraId="5A42AFC4">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（2）、二级保养(周期：年)</w:t>
      </w:r>
    </w:p>
    <w:p w14:paraId="7D7C0A68">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A完成一级保养的内容。</w:t>
      </w:r>
    </w:p>
    <w:p w14:paraId="1A4F8DC0">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B检查与更换各接合面间的垫片和密封填料。</w:t>
      </w:r>
    </w:p>
    <w:p w14:paraId="03D325F6">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C清洁电机内风轮、过滤器及机壳内部，对于油漆脱落处应补刷。</w:t>
      </w:r>
    </w:p>
    <w:p w14:paraId="58C246F5">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D连续运行1小时，测试电机运行前后温度，计算电机温升是否正常，确保风机运转正常。</w:t>
      </w:r>
    </w:p>
    <w:p w14:paraId="5E037228">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E对检查发现的缺陷逐一修复。</w:t>
      </w:r>
    </w:p>
    <w:p w14:paraId="62523C13">
      <w:pPr>
        <w:numPr>
          <w:ilvl w:val="0"/>
          <w:numId w:val="2"/>
        </w:num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防火卷闸门系统维护保养要求及标准（周期：半年）</w:t>
      </w:r>
    </w:p>
    <w:p w14:paraId="67CAC87F">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（1）做好保洁工作，清扫电机、控制箱等外表灰尘。</w:t>
      </w:r>
    </w:p>
    <w:p w14:paraId="580375E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（2）检查卷帘门电气自动控制、电气手动控制功能，若不正常应及时修复。</w:t>
      </w:r>
    </w:p>
    <w:p w14:paraId="2F87AF3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（3）调节卷帘门上、下行程，确保上、下行程在规定范围内。</w:t>
      </w:r>
    </w:p>
    <w:p w14:paraId="64678ED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（4）全面检查，紧固各类紧固件，对局部变形及油漆脱落现象进行修复。</w:t>
      </w:r>
    </w:p>
    <w:p w14:paraId="6331878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（5）用500V兆欧表测试电机绝缘，对地绝缘电阻不应小于0.5兆；相间绝缘电阻不应小于2兆；否则应烘干处理，确保绝缘正常后才能使用。</w:t>
      </w:r>
    </w:p>
    <w:p w14:paraId="26E6A21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（6）向转动部位填加润滑油，以保证联轴器及轴承的灵活性及稳定性。</w:t>
      </w:r>
    </w:p>
    <w:p w14:paraId="3A1ADC1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（7）调整电机传动链的松紧度。</w:t>
      </w:r>
    </w:p>
    <w:p w14:paraId="5F8F8C43">
      <w:pPr>
        <w:snapToGrid w:val="0"/>
        <w:spacing w:line="520" w:lineRule="exact"/>
        <w:ind w:firstLine="602" w:firstLineChars="200"/>
        <w:rPr>
          <w:rFonts w:ascii="仿宋" w:hAnsi="仿宋" w:eastAsia="仿宋"/>
          <w:color w:val="auto"/>
          <w:sz w:val="30"/>
          <w:szCs w:val="30"/>
        </w:rPr>
      </w:pPr>
      <w:r>
        <w:rPr>
          <w:rFonts w:hint="eastAsia" w:ascii="仿宋" w:hAnsi="仿宋" w:eastAsia="仿宋"/>
          <w:b/>
          <w:color w:val="auto"/>
          <w:sz w:val="30"/>
          <w:szCs w:val="30"/>
        </w:rPr>
        <w:t xml:space="preserve"> </w:t>
      </w:r>
      <w:r>
        <w:rPr>
          <w:rFonts w:hint="eastAsia" w:ascii="仿宋" w:hAnsi="仿宋" w:eastAsia="仿宋"/>
          <w:color w:val="auto"/>
          <w:sz w:val="30"/>
          <w:szCs w:val="30"/>
        </w:rPr>
        <w:t>8、 消防管网系统保养</w:t>
      </w:r>
    </w:p>
    <w:p w14:paraId="51999F1D">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（1）对易污染、易腐蚀生锈的消防设备、管道、阀门应至少每年进行一次清洁、除锈、注润滑剂。</w:t>
      </w:r>
    </w:p>
    <w:p w14:paraId="3CD72752">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（2）室内消火栓系统至少每月应进行一次静压力检测；最不利点静压力（建筑高度100米以下不小于0.07MP, 建筑高度100米及以上不小于0.15MP），消防消火栓系统末端最高静压力不高于0.8 MP，否则应调节减压阀，确保消火栓系统压力符合使用压力要求；室外消火栓每季度至少进行一次放水试验。</w:t>
      </w:r>
    </w:p>
    <w:p w14:paraId="23B894E7">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（3）消防喷淋系统应至少每月进行末端压力检查，末端放水试验以确保末端压力符合使用压力要求；每半年应彻底检查喷淋头外观是否有破裂、渗漏、被遮挡情况，否则应做相应处理。</w:t>
      </w:r>
    </w:p>
    <w:p w14:paraId="3E223023">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9、探测器保养</w:t>
      </w:r>
    </w:p>
    <w:p w14:paraId="3BF7D245">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点型感烟火灾探测器应根据产品说明书的要求定期清洗、标定；可燃气体探测器应根据产品说明书的要求定期进行标定；火灾探测器、可燃气体探测器的标定应由生产企业或具有资质的检测机构承担；承担标定的单位应出具标定记录。</w:t>
      </w:r>
    </w:p>
    <w:p w14:paraId="331BF155">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（2）探测器每月10%的比例对其灵敏度进行抽查，年度覆盖全部； </w:t>
      </w:r>
    </w:p>
    <w:p w14:paraId="1CB43D5F">
      <w:pPr>
        <w:snapToGrid w:val="0"/>
        <w:spacing w:line="520" w:lineRule="exact"/>
        <w:ind w:firstLine="602" w:firstLineChars="200"/>
        <w:rPr>
          <w:rFonts w:ascii="仿宋" w:hAnsi="仿宋" w:eastAsia="仿宋"/>
          <w:color w:val="auto"/>
          <w:sz w:val="30"/>
          <w:szCs w:val="30"/>
        </w:rPr>
      </w:pPr>
      <w:r>
        <w:rPr>
          <w:rFonts w:hint="eastAsia" w:ascii="仿宋" w:hAnsi="仿宋" w:eastAsia="仿宋"/>
          <w:b/>
          <w:color w:val="auto"/>
          <w:sz w:val="30"/>
          <w:szCs w:val="30"/>
        </w:rPr>
        <w:t xml:space="preserve"> </w:t>
      </w:r>
      <w:r>
        <w:rPr>
          <w:rFonts w:hint="eastAsia" w:ascii="仿宋" w:hAnsi="仿宋" w:eastAsia="仿宋"/>
          <w:color w:val="auto"/>
          <w:sz w:val="30"/>
          <w:szCs w:val="30"/>
        </w:rPr>
        <w:t>10、火灾自动报警系统、消防电话系统、消防广播系统保养（周期：年）</w:t>
      </w:r>
    </w:p>
    <w:p w14:paraId="4475FBB9">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（1）全面除尘，二次线路紧固、整理。</w:t>
      </w:r>
    </w:p>
    <w:p w14:paraId="12FF87D1">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（2）各类标示检查，对于坏损，不清晰标示进行更换。</w:t>
      </w:r>
    </w:p>
    <w:p w14:paraId="2C88F128">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（3）使用原始承档资料核对火灾自动报警主机点位，确保点位未被删除。</w:t>
      </w:r>
    </w:p>
    <w:p w14:paraId="021FD8FA">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（4）消防CRT图形显示系统电脑主机除尘，系统清理、维护；软件备份。</w:t>
      </w:r>
    </w:p>
    <w:p w14:paraId="580B1908">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 各类功能测试，确保功能正常。</w:t>
      </w:r>
    </w:p>
    <w:p w14:paraId="3A7B0B40">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11、气体自动灭火控制系统维护保养（周期：年）</w:t>
      </w:r>
    </w:p>
    <w:p w14:paraId="28CB8C92">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（1）全面除尘，二次线路紧固、整理。</w:t>
      </w:r>
    </w:p>
    <w:p w14:paraId="24C191A4">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（2）检查贮存容器的压力，正常应在规定的±10%之内。</w:t>
      </w:r>
    </w:p>
    <w:p w14:paraId="1BE5F038">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（3）检查所有的喷嘴出口，确保它们是畅通的。</w:t>
      </w:r>
    </w:p>
    <w:p w14:paraId="257E6386">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（4）检查气瓶安全插销是否正常。</w:t>
      </w:r>
    </w:p>
    <w:p w14:paraId="412D0F40">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（5）检查气体灭火控制器控制面板，放气指示灯及警报器，确保其功能正常。</w:t>
      </w:r>
    </w:p>
    <w:p w14:paraId="6794C4CF">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 检查气体灭火装置是否在有效期内，否则应及时更换。</w:t>
      </w:r>
    </w:p>
    <w:p w14:paraId="7D083C14">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12、报警阀 （周期：季度）</w:t>
      </w:r>
    </w:p>
    <w:p w14:paraId="4A434B86">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（1）二次线路紧固，整齐；报警阀阀体除尘，紧固，油漆，清理。</w:t>
      </w:r>
    </w:p>
    <w:p w14:paraId="7E7CA0B7">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（2）测试压力开关功能，喷淋末端放水试验应动作可靠；</w:t>
      </w:r>
    </w:p>
    <w:p w14:paraId="6E87946F">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（3）喷淋末端放水试验或喷淋头炸开后，水流指示器动作灵活，及时把报警信号传递到火灾自动报警系统主机；湿式报警阀能灵活打开；</w:t>
      </w:r>
    </w:p>
    <w:p w14:paraId="525CA2DE">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（4）除喷淋管道水流波动外，湿式报警阀动作并延迟15秒后，压力开关能将警信号传递到火灾自动报警系统主机。</w:t>
      </w:r>
    </w:p>
    <w:p w14:paraId="3E3FB358">
      <w:pPr>
        <w:snapToGrid w:val="0"/>
        <w:spacing w:line="520" w:lineRule="exact"/>
        <w:ind w:firstLine="600" w:firstLineChars="200"/>
        <w:rPr>
          <w:rFonts w:ascii="仿宋" w:hAnsi="仿宋" w:eastAsia="仿宋" w:cs="宋体"/>
          <w:bCs/>
          <w:color w:val="auto"/>
          <w:sz w:val="30"/>
          <w:szCs w:val="30"/>
        </w:rPr>
      </w:pPr>
      <w:r>
        <w:rPr>
          <w:rFonts w:hint="eastAsia" w:ascii="仿宋" w:hAnsi="仿宋" w:eastAsia="仿宋" w:cs="宋体"/>
          <w:bCs/>
          <w:color w:val="auto"/>
          <w:sz w:val="30"/>
          <w:szCs w:val="30"/>
        </w:rPr>
        <w:t>13、应急柜日常维护保养：（周期：季度）</w:t>
      </w:r>
    </w:p>
    <w:p w14:paraId="63C9FEAF">
      <w:pPr>
        <w:spacing w:line="52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（1）做好应急照明控制柜内外保洁工作；</w:t>
      </w:r>
    </w:p>
    <w:p w14:paraId="5C093780">
      <w:pPr>
        <w:spacing w:line="520" w:lineRule="exact"/>
        <w:ind w:firstLine="600" w:firstLineChars="200"/>
        <w:rPr>
          <w:rFonts w:ascii="仿宋" w:hAnsi="仿宋" w:eastAsia="仿宋" w:cs="宋体"/>
          <w:color w:val="auto"/>
          <w:sz w:val="30"/>
          <w:szCs w:val="30"/>
        </w:rPr>
      </w:pPr>
      <w:r>
        <w:rPr>
          <w:rFonts w:hint="eastAsia" w:ascii="仿宋" w:hAnsi="仿宋" w:eastAsia="仿宋"/>
          <w:color w:val="auto"/>
          <w:sz w:val="30"/>
          <w:szCs w:val="30"/>
        </w:rPr>
        <w:t>（2）</w:t>
      </w:r>
      <w:r>
        <w:rPr>
          <w:rFonts w:hint="eastAsia" w:ascii="仿宋" w:hAnsi="仿宋" w:eastAsia="仿宋" w:cs="宋体"/>
          <w:color w:val="auto"/>
          <w:sz w:val="30"/>
          <w:szCs w:val="30"/>
        </w:rPr>
        <w:t>检查应急照明电气自动控制、电气手动控制功能，若不正常应及时修复；</w:t>
      </w:r>
    </w:p>
    <w:p w14:paraId="19A3C730">
      <w:pPr>
        <w:spacing w:line="520" w:lineRule="exact"/>
        <w:ind w:firstLine="600" w:firstLineChars="200"/>
        <w:rPr>
          <w:rFonts w:ascii="仿宋" w:hAnsi="仿宋" w:eastAsia="仿宋" w:cs="宋体"/>
          <w:color w:val="auto"/>
          <w:sz w:val="30"/>
          <w:szCs w:val="30"/>
        </w:rPr>
      </w:pPr>
      <w:r>
        <w:rPr>
          <w:rFonts w:hint="eastAsia" w:ascii="仿宋" w:hAnsi="仿宋" w:eastAsia="仿宋"/>
          <w:color w:val="auto"/>
          <w:sz w:val="30"/>
          <w:szCs w:val="30"/>
        </w:rPr>
        <w:t>（3）</w:t>
      </w:r>
      <w:r>
        <w:rPr>
          <w:rFonts w:hint="eastAsia" w:ascii="仿宋" w:hAnsi="仿宋" w:eastAsia="仿宋" w:cs="宋体"/>
          <w:color w:val="auto"/>
          <w:sz w:val="30"/>
          <w:szCs w:val="30"/>
        </w:rPr>
        <w:t>全面检查，紧固各类紧固件；</w:t>
      </w:r>
    </w:p>
    <w:p w14:paraId="6574BF4E">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w:t>
      </w:r>
      <w:r>
        <w:rPr>
          <w:rFonts w:hint="eastAsia" w:ascii="仿宋" w:hAnsi="仿宋" w:eastAsia="仿宋" w:cs="宋体"/>
          <w:color w:val="auto"/>
          <w:sz w:val="30"/>
          <w:szCs w:val="30"/>
        </w:rPr>
        <w:t>测试应急储电池工作时间是否能达到要求，若不能达到要求应及时提交报告给项目和服务管理中心。</w:t>
      </w:r>
    </w:p>
    <w:p w14:paraId="01AE8680">
      <w:pPr>
        <w:widowControl/>
        <w:snapToGrid w:val="0"/>
        <w:spacing w:line="520" w:lineRule="exact"/>
        <w:outlineLvl w:val="2"/>
        <w:rPr>
          <w:rFonts w:ascii="仿宋" w:hAnsi="仿宋" w:eastAsia="仿宋"/>
          <w:color w:val="auto"/>
          <w:kern w:val="0"/>
          <w:sz w:val="30"/>
          <w:szCs w:val="30"/>
        </w:rPr>
      </w:pPr>
      <w:r>
        <w:rPr>
          <w:rFonts w:hint="eastAsia" w:ascii="仿宋" w:hAnsi="仿宋" w:eastAsia="仿宋"/>
          <w:color w:val="auto"/>
          <w:kern w:val="0"/>
          <w:sz w:val="30"/>
          <w:szCs w:val="30"/>
        </w:rPr>
        <w:br w:type="page"/>
      </w:r>
    </w:p>
    <w:p w14:paraId="6945A393">
      <w:pPr>
        <w:snapToGrid w:val="0"/>
        <w:spacing w:before="240" w:line="520" w:lineRule="exact"/>
        <w:rPr>
          <w:rFonts w:ascii="仿宋" w:hAnsi="仿宋" w:eastAsia="仿宋"/>
          <w:b/>
          <w:bCs/>
          <w:color w:val="auto"/>
          <w:sz w:val="30"/>
          <w:szCs w:val="30"/>
        </w:rPr>
      </w:pPr>
      <w:r>
        <w:rPr>
          <w:rFonts w:hint="eastAsia" w:ascii="仿宋" w:hAnsi="仿宋" w:eastAsia="仿宋"/>
          <w:b/>
          <w:bCs/>
          <w:color w:val="auto"/>
          <w:sz w:val="30"/>
          <w:szCs w:val="30"/>
        </w:rPr>
        <w:t>附件二：消防维保月度总结模板</w:t>
      </w:r>
    </w:p>
    <w:p w14:paraId="736DF445">
      <w:pPr>
        <w:spacing w:line="520" w:lineRule="exact"/>
        <w:ind w:firstLine="600" w:firstLineChars="200"/>
        <w:jc w:val="center"/>
        <w:rPr>
          <w:rFonts w:ascii="仿宋" w:hAnsi="仿宋" w:eastAsia="仿宋"/>
          <w:color w:val="auto"/>
          <w:sz w:val="30"/>
          <w:szCs w:val="30"/>
        </w:rPr>
      </w:pPr>
      <w:r>
        <w:rPr>
          <w:rFonts w:hint="eastAsia" w:ascii="仿宋" w:hAnsi="仿宋" w:eastAsia="仿宋"/>
          <w:color w:val="auto"/>
          <w:sz w:val="30"/>
          <w:szCs w:val="30"/>
        </w:rPr>
        <w:t>青年公寓</w:t>
      </w:r>
      <w:r>
        <w:rPr>
          <w:rFonts w:hint="eastAsia" w:ascii="仿宋" w:hAnsi="仿宋" w:eastAsia="仿宋"/>
          <w:color w:val="auto"/>
          <w:sz w:val="30"/>
          <w:szCs w:val="30"/>
          <w:lang w:eastAsia="zh-CN"/>
        </w:rPr>
        <w:t>、</w:t>
      </w:r>
      <w:r>
        <w:rPr>
          <w:rFonts w:hint="eastAsia" w:ascii="仿宋" w:hAnsi="仿宋" w:eastAsia="仿宋"/>
          <w:color w:val="auto"/>
          <w:sz w:val="30"/>
          <w:szCs w:val="30"/>
        </w:rPr>
        <w:t>标准厂房项目</w:t>
      </w:r>
      <w:r>
        <w:rPr>
          <w:rFonts w:ascii="仿宋" w:hAnsi="仿宋" w:eastAsia="仿宋"/>
          <w:color w:val="auto"/>
          <w:sz w:val="30"/>
          <w:szCs w:val="30"/>
        </w:rPr>
        <w:t>消防维保</w:t>
      </w:r>
      <w:r>
        <w:rPr>
          <w:rFonts w:hint="eastAsia" w:ascii="仿宋" w:hAnsi="仿宋" w:eastAsia="仿宋"/>
          <w:color w:val="auto"/>
          <w:sz w:val="30"/>
          <w:szCs w:val="30"/>
        </w:rPr>
        <w:t>月度</w:t>
      </w:r>
      <w:r>
        <w:rPr>
          <w:rFonts w:ascii="仿宋" w:hAnsi="仿宋" w:eastAsia="仿宋"/>
          <w:color w:val="auto"/>
          <w:sz w:val="30"/>
          <w:szCs w:val="30"/>
        </w:rPr>
        <w:t>工作总结</w:t>
      </w:r>
    </w:p>
    <w:p w14:paraId="6273D4A6">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（一）日常巡检工作：</w:t>
      </w:r>
    </w:p>
    <w:p w14:paraId="19D77741">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本月度我公司按照年度维保计划，每周对消防主要设施设备（发电机，应急柜，火灾自动报警系统，消防供水设施，自动喷水灭火系统，气体灭火系统，防烟、排烟系统，应急广播系统，消防专用电话，防火分隔设施，消防电梯）进行全面巡查；</w:t>
      </w:r>
    </w:p>
    <w:p w14:paraId="5086B68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2、本月度对栋至栋；地下室防火分区至防火分区的全部火灾报警探测器和手动报警按钮，末端试水装置，消火栓，消火栓启泵按钮，应急照明和疏散指示标志进行功能检查； </w:t>
      </w:r>
    </w:p>
    <w:p w14:paraId="3806694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3、检查结果：</w:t>
      </w:r>
    </w:p>
    <w:p w14:paraId="2C67CAF3">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w:t>
      </w:r>
      <w:r>
        <w:rPr>
          <w:rFonts w:hint="eastAsia" w:ascii="仿宋" w:hAnsi="仿宋" w:eastAsia="仿宋"/>
          <w:color w:val="auto"/>
          <w:sz w:val="30"/>
          <w:szCs w:val="30"/>
        </w:rPr>
        <w:t>二</w:t>
      </w:r>
      <w:r>
        <w:rPr>
          <w:rFonts w:ascii="仿宋" w:hAnsi="仿宋" w:eastAsia="仿宋"/>
          <w:color w:val="auto"/>
          <w:sz w:val="30"/>
          <w:szCs w:val="30"/>
        </w:rPr>
        <w:t>）日常维</w:t>
      </w:r>
      <w:r>
        <w:rPr>
          <w:rFonts w:hint="eastAsia" w:ascii="仿宋" w:hAnsi="仿宋" w:eastAsia="仿宋"/>
          <w:color w:val="auto"/>
          <w:sz w:val="30"/>
          <w:szCs w:val="30"/>
        </w:rPr>
        <w:t>修</w:t>
      </w:r>
      <w:r>
        <w:rPr>
          <w:rFonts w:ascii="仿宋" w:hAnsi="仿宋" w:eastAsia="仿宋"/>
          <w:color w:val="auto"/>
          <w:sz w:val="30"/>
          <w:szCs w:val="30"/>
        </w:rPr>
        <w:t>工作：</w:t>
      </w:r>
    </w:p>
    <w:p w14:paraId="0A779A7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根据维保合同，本月度我公司维修人员根据巡检，检测结果对以下设备进行了维修：</w:t>
      </w:r>
    </w:p>
    <w:p w14:paraId="48D5F913">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w:t>
      </w:r>
      <w:r>
        <w:rPr>
          <w:rFonts w:hint="eastAsia" w:ascii="仿宋" w:hAnsi="仿宋" w:eastAsia="仿宋"/>
          <w:color w:val="auto"/>
          <w:sz w:val="30"/>
          <w:szCs w:val="30"/>
        </w:rPr>
        <w:t>三</w:t>
      </w:r>
      <w:r>
        <w:rPr>
          <w:rFonts w:ascii="仿宋" w:hAnsi="仿宋" w:eastAsia="仿宋"/>
          <w:color w:val="auto"/>
          <w:sz w:val="30"/>
          <w:szCs w:val="30"/>
        </w:rPr>
        <w:t>）日常</w:t>
      </w:r>
      <w:r>
        <w:rPr>
          <w:rFonts w:hint="eastAsia" w:ascii="仿宋" w:hAnsi="仿宋" w:eastAsia="仿宋"/>
          <w:color w:val="auto"/>
          <w:sz w:val="30"/>
          <w:szCs w:val="30"/>
        </w:rPr>
        <w:t>保养</w:t>
      </w:r>
      <w:r>
        <w:rPr>
          <w:rFonts w:ascii="仿宋" w:hAnsi="仿宋" w:eastAsia="仿宋"/>
          <w:color w:val="auto"/>
          <w:sz w:val="30"/>
          <w:szCs w:val="30"/>
        </w:rPr>
        <w:t>工作：</w:t>
      </w:r>
    </w:p>
    <w:p w14:paraId="56606749">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1、电动机保养：</w:t>
      </w:r>
    </w:p>
    <w:p w14:paraId="26420572">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2、消防水泵保养：</w:t>
      </w:r>
    </w:p>
    <w:p w14:paraId="52C03C39">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3、消防泵控制柜保养：</w:t>
      </w:r>
    </w:p>
    <w:p w14:paraId="02A310FA">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4、闸阀、蝶阀、截止阀、减压阀、止回阀、浮球阀、液位控制器保养：</w:t>
      </w:r>
    </w:p>
    <w:p w14:paraId="099DABDB">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5、风机保养：</w:t>
      </w:r>
    </w:p>
    <w:p w14:paraId="7850382A">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6、防火卷闸门保养：</w:t>
      </w:r>
    </w:p>
    <w:p w14:paraId="7F8CBCF8">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7、消防管网系统保养：</w:t>
      </w:r>
    </w:p>
    <w:p w14:paraId="2B7AEDCE">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8、探测器保养：</w:t>
      </w:r>
    </w:p>
    <w:p w14:paraId="08EA009C">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9、火灾自动报警系统、消防电话系统、消防广播系统保养：</w:t>
      </w:r>
    </w:p>
    <w:p w14:paraId="0B6B0D57">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10、气体自动灭火控制系统维护保养：</w:t>
      </w:r>
    </w:p>
    <w:p w14:paraId="09B521DE">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11、报警阀保养：</w:t>
      </w:r>
    </w:p>
    <w:p w14:paraId="18B566D2">
      <w:pPr>
        <w:spacing w:line="520" w:lineRule="exact"/>
        <w:ind w:left="420" w:leftChars="200"/>
        <w:jc w:val="left"/>
        <w:rPr>
          <w:rFonts w:ascii="仿宋" w:hAnsi="仿宋" w:eastAsia="仿宋"/>
          <w:color w:val="auto"/>
          <w:sz w:val="30"/>
          <w:szCs w:val="30"/>
        </w:rPr>
      </w:pPr>
      <w:r>
        <w:rPr>
          <w:rFonts w:hint="eastAsia" w:ascii="仿宋" w:hAnsi="仿宋" w:eastAsia="仿宋"/>
          <w:color w:val="auto"/>
          <w:sz w:val="30"/>
          <w:szCs w:val="30"/>
        </w:rPr>
        <w:t>（四）年度检测工作：</w:t>
      </w:r>
    </w:p>
    <w:p w14:paraId="2435F9FD">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1、消防供配电设施的检测内容部分：</w:t>
      </w:r>
    </w:p>
    <w:p w14:paraId="3E8FBD6E">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2、火灾自动报警系统的检测内容部分：</w:t>
      </w:r>
    </w:p>
    <w:p w14:paraId="388F188C">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3、消防供水设施的检测内容部分：</w:t>
      </w:r>
    </w:p>
    <w:p w14:paraId="16A07075">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4、气体灭火系统的检测部分：</w:t>
      </w:r>
    </w:p>
    <w:p w14:paraId="085B392C">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5、防烟排烟系统的检测部分：</w:t>
      </w:r>
    </w:p>
    <w:p w14:paraId="11D025E0">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6、应急照明系统的检测部分：</w:t>
      </w:r>
    </w:p>
    <w:p w14:paraId="405CB45C">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7、消防应急广播系统的检测部分：</w:t>
      </w:r>
    </w:p>
    <w:p w14:paraId="70A4A67B">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8、消防专用电话的检测内容部分：</w:t>
      </w:r>
    </w:p>
    <w:p w14:paraId="40647EF2">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9、防火分隔设施的检测部分：</w:t>
      </w:r>
    </w:p>
    <w:p w14:paraId="1FD6289A">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10、消防电梯的检测部分：</w:t>
      </w:r>
    </w:p>
    <w:p w14:paraId="1FED01AD">
      <w:pPr>
        <w:spacing w:line="520" w:lineRule="exact"/>
        <w:jc w:val="left"/>
        <w:rPr>
          <w:rFonts w:ascii="仿宋" w:hAnsi="仿宋" w:eastAsia="仿宋"/>
          <w:color w:val="auto"/>
          <w:sz w:val="30"/>
          <w:szCs w:val="30"/>
        </w:rPr>
      </w:pPr>
    </w:p>
    <w:p w14:paraId="0297C1A3">
      <w:pPr>
        <w:spacing w:line="520" w:lineRule="exact"/>
        <w:jc w:val="left"/>
        <w:rPr>
          <w:rFonts w:ascii="仿宋" w:hAnsi="仿宋" w:eastAsia="仿宋"/>
          <w:color w:val="auto"/>
          <w:sz w:val="30"/>
          <w:szCs w:val="30"/>
        </w:rPr>
      </w:pPr>
      <w:r>
        <w:rPr>
          <w:rFonts w:hint="eastAsia" w:ascii="仿宋" w:hAnsi="仿宋" w:eastAsia="仿宋"/>
          <w:color w:val="auto"/>
          <w:sz w:val="30"/>
          <w:szCs w:val="30"/>
        </w:rPr>
        <w:t>检测结果：</w:t>
      </w:r>
    </w:p>
    <w:p w14:paraId="24C510B8">
      <w:pPr>
        <w:spacing w:line="520" w:lineRule="exact"/>
        <w:ind w:firstLine="2560" w:firstLineChars="850"/>
        <w:jc w:val="right"/>
        <w:rPr>
          <w:rFonts w:ascii="仿宋" w:hAnsi="仿宋" w:eastAsia="仿宋"/>
          <w:b/>
          <w:color w:val="auto"/>
          <w:sz w:val="30"/>
          <w:szCs w:val="30"/>
        </w:rPr>
      </w:pPr>
    </w:p>
    <w:p w14:paraId="61B4C02C">
      <w:pPr>
        <w:spacing w:line="520" w:lineRule="exact"/>
        <w:ind w:firstLine="2560" w:firstLineChars="850"/>
        <w:jc w:val="right"/>
        <w:rPr>
          <w:rFonts w:ascii="仿宋" w:hAnsi="仿宋" w:eastAsia="仿宋"/>
          <w:b/>
          <w:color w:val="auto"/>
          <w:sz w:val="30"/>
          <w:szCs w:val="30"/>
        </w:rPr>
      </w:pPr>
    </w:p>
    <w:p w14:paraId="414FC905">
      <w:pPr>
        <w:spacing w:line="520" w:lineRule="exact"/>
        <w:ind w:firstLine="4800" w:firstLineChars="1600"/>
        <w:jc w:val="left"/>
        <w:rPr>
          <w:rFonts w:ascii="仿宋" w:hAnsi="仿宋" w:eastAsia="仿宋"/>
          <w:color w:val="auto"/>
          <w:sz w:val="30"/>
          <w:szCs w:val="30"/>
        </w:rPr>
      </w:pPr>
      <w:r>
        <w:rPr>
          <w:rFonts w:hint="eastAsia" w:ascii="仿宋" w:hAnsi="仿宋" w:eastAsia="仿宋"/>
          <w:color w:val="auto"/>
          <w:sz w:val="30"/>
          <w:szCs w:val="30"/>
        </w:rPr>
        <w:t xml:space="preserve">维保单位（签章）：   </w:t>
      </w:r>
    </w:p>
    <w:p w14:paraId="4154C12A">
      <w:pPr>
        <w:spacing w:line="520" w:lineRule="exact"/>
        <w:ind w:firstLine="2550" w:firstLineChars="850"/>
        <w:jc w:val="right"/>
        <w:rPr>
          <w:rFonts w:ascii="仿宋" w:hAnsi="仿宋" w:eastAsia="仿宋"/>
          <w:color w:val="auto"/>
          <w:sz w:val="30"/>
          <w:szCs w:val="30"/>
        </w:rPr>
      </w:pPr>
    </w:p>
    <w:p w14:paraId="442A8E47">
      <w:pPr>
        <w:spacing w:line="520" w:lineRule="exact"/>
        <w:ind w:firstLine="3450" w:firstLineChars="1150"/>
        <w:jc w:val="right"/>
        <w:rPr>
          <w:rFonts w:ascii="仿宋" w:hAnsi="仿宋" w:eastAsia="仿宋"/>
          <w:color w:val="auto"/>
          <w:sz w:val="30"/>
          <w:szCs w:val="30"/>
        </w:rPr>
      </w:pPr>
      <w:r>
        <w:rPr>
          <w:rFonts w:hint="eastAsia" w:ascii="仿宋" w:hAnsi="仿宋" w:eastAsia="仿宋"/>
          <w:color w:val="auto"/>
          <w:sz w:val="30"/>
          <w:szCs w:val="30"/>
        </w:rPr>
        <w:t>时间：   年    月    日</w:t>
      </w:r>
    </w:p>
    <w:p w14:paraId="68AD8636">
      <w:pPr>
        <w:widowControl/>
        <w:snapToGrid w:val="0"/>
        <w:spacing w:line="520" w:lineRule="exact"/>
        <w:outlineLvl w:val="2"/>
        <w:rPr>
          <w:rFonts w:ascii="仿宋" w:hAnsi="仿宋" w:eastAsia="仿宋"/>
          <w:color w:val="auto"/>
          <w:kern w:val="0"/>
          <w:sz w:val="30"/>
          <w:szCs w:val="30"/>
        </w:rPr>
      </w:pPr>
      <w:r>
        <w:rPr>
          <w:rFonts w:hint="eastAsia" w:ascii="仿宋" w:hAnsi="仿宋" w:eastAsia="仿宋"/>
          <w:color w:val="auto"/>
          <w:kern w:val="0"/>
          <w:sz w:val="30"/>
          <w:szCs w:val="30"/>
        </w:rPr>
        <w:br w:type="page"/>
      </w:r>
    </w:p>
    <w:p w14:paraId="1A51A50B">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附件三：消防维保违约具体情形及扣款</w:t>
      </w:r>
    </w:p>
    <w:tbl>
      <w:tblPr>
        <w:tblStyle w:val="8"/>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4756"/>
        <w:gridCol w:w="1620"/>
        <w:gridCol w:w="2011"/>
      </w:tblGrid>
      <w:tr w14:paraId="0DF84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25" w:type="dxa"/>
            <w:vAlign w:val="center"/>
          </w:tcPr>
          <w:p w14:paraId="1870358B">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序号</w:t>
            </w:r>
          </w:p>
        </w:tc>
        <w:tc>
          <w:tcPr>
            <w:tcW w:w="4756" w:type="dxa"/>
            <w:vAlign w:val="center"/>
          </w:tcPr>
          <w:p w14:paraId="15D8030C">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奖扣标准</w:t>
            </w:r>
          </w:p>
        </w:tc>
        <w:tc>
          <w:tcPr>
            <w:tcW w:w="1620" w:type="dxa"/>
            <w:vAlign w:val="center"/>
          </w:tcPr>
          <w:p w14:paraId="36C991D7">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奖扣金额</w:t>
            </w:r>
          </w:p>
        </w:tc>
        <w:tc>
          <w:tcPr>
            <w:tcW w:w="2011" w:type="dxa"/>
            <w:vAlign w:val="center"/>
          </w:tcPr>
          <w:p w14:paraId="498F7504">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备注</w:t>
            </w:r>
          </w:p>
        </w:tc>
      </w:tr>
      <w:tr w14:paraId="20AE8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825" w:type="dxa"/>
            <w:vAlign w:val="center"/>
          </w:tcPr>
          <w:p w14:paraId="4FC64CE2">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w:t>
            </w:r>
          </w:p>
        </w:tc>
        <w:tc>
          <w:tcPr>
            <w:tcW w:w="4756" w:type="dxa"/>
            <w:vAlign w:val="center"/>
          </w:tcPr>
          <w:p w14:paraId="7A6B11D4">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在设备发生紧急故障或其他突发事件时，乙方未按合同约定时间（30分钟）内到达现场且未造成人员伤亡及较大财产损失的</w:t>
            </w:r>
          </w:p>
        </w:tc>
        <w:tc>
          <w:tcPr>
            <w:tcW w:w="1620" w:type="dxa"/>
            <w:vAlign w:val="center"/>
          </w:tcPr>
          <w:p w14:paraId="0A070BDF">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扣款2000元/次</w:t>
            </w:r>
          </w:p>
        </w:tc>
        <w:tc>
          <w:tcPr>
            <w:tcW w:w="2011" w:type="dxa"/>
            <w:vAlign w:val="center"/>
          </w:tcPr>
          <w:p w14:paraId="06F004BF">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造成人员伤亡，较大财产损失的按合同约定处理</w:t>
            </w:r>
          </w:p>
        </w:tc>
      </w:tr>
      <w:tr w14:paraId="307AA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25" w:type="dxa"/>
            <w:vAlign w:val="center"/>
          </w:tcPr>
          <w:p w14:paraId="49E722F8">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2</w:t>
            </w:r>
          </w:p>
        </w:tc>
        <w:tc>
          <w:tcPr>
            <w:tcW w:w="4756" w:type="dxa"/>
            <w:vAlign w:val="center"/>
          </w:tcPr>
          <w:p w14:paraId="418CA9AA">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在设备发生故障或其他突发事件时，乙方虽按合同约定时间到达现场，但未及时处理的及因乙方原因导致设备故障未在甲方指定时间内修复完成的，均未造成人员伤亡及较大财产损失的</w:t>
            </w:r>
          </w:p>
        </w:tc>
        <w:tc>
          <w:tcPr>
            <w:tcW w:w="1620" w:type="dxa"/>
            <w:vAlign w:val="center"/>
          </w:tcPr>
          <w:p w14:paraId="3BDEFBC6">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扣款超时的200元/小时</w:t>
            </w:r>
          </w:p>
        </w:tc>
        <w:tc>
          <w:tcPr>
            <w:tcW w:w="2011" w:type="dxa"/>
            <w:vAlign w:val="center"/>
          </w:tcPr>
          <w:p w14:paraId="63AC4BC8">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造成人员伤亡，较大财产损失的按合同约定处理</w:t>
            </w:r>
          </w:p>
        </w:tc>
      </w:tr>
      <w:tr w14:paraId="69342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25" w:type="dxa"/>
            <w:vAlign w:val="center"/>
          </w:tcPr>
          <w:p w14:paraId="301BBDD7">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3</w:t>
            </w:r>
          </w:p>
        </w:tc>
        <w:tc>
          <w:tcPr>
            <w:tcW w:w="4756" w:type="dxa"/>
            <w:vAlign w:val="center"/>
          </w:tcPr>
          <w:p w14:paraId="442B5479">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乙方进行日常、月度、季度、年度维保现场品质未到达合同附件约定的维保标准的，未造成人员伤亡、较大财产损失的</w:t>
            </w:r>
          </w:p>
        </w:tc>
        <w:tc>
          <w:tcPr>
            <w:tcW w:w="1620" w:type="dxa"/>
            <w:vAlign w:val="center"/>
          </w:tcPr>
          <w:p w14:paraId="61FFE5C4">
            <w:pPr>
              <w:spacing w:line="520" w:lineRule="exact"/>
              <w:ind w:firstLine="150" w:firstLineChars="50"/>
              <w:rPr>
                <w:rFonts w:ascii="仿宋" w:hAnsi="仿宋" w:eastAsia="仿宋" w:cs="宋体"/>
                <w:color w:val="auto"/>
                <w:sz w:val="30"/>
                <w:szCs w:val="30"/>
              </w:rPr>
            </w:pPr>
            <w:r>
              <w:rPr>
                <w:rFonts w:hint="eastAsia" w:ascii="仿宋" w:hAnsi="仿宋" w:eastAsia="仿宋" w:cs="宋体"/>
                <w:color w:val="auto"/>
                <w:sz w:val="30"/>
                <w:szCs w:val="30"/>
              </w:rPr>
              <w:t>扣款50-500元/项</w:t>
            </w:r>
          </w:p>
        </w:tc>
        <w:tc>
          <w:tcPr>
            <w:tcW w:w="2011" w:type="dxa"/>
            <w:vAlign w:val="center"/>
          </w:tcPr>
          <w:p w14:paraId="32043820">
            <w:pPr>
              <w:spacing w:line="520" w:lineRule="exact"/>
              <w:ind w:firstLine="150" w:firstLineChars="50"/>
              <w:rPr>
                <w:rFonts w:ascii="仿宋" w:hAnsi="仿宋" w:eastAsia="仿宋" w:cs="宋体"/>
                <w:color w:val="auto"/>
                <w:sz w:val="30"/>
                <w:szCs w:val="30"/>
              </w:rPr>
            </w:pPr>
          </w:p>
        </w:tc>
      </w:tr>
      <w:tr w14:paraId="7243E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5" w:type="dxa"/>
            <w:vAlign w:val="center"/>
          </w:tcPr>
          <w:p w14:paraId="23314FCE">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4</w:t>
            </w:r>
          </w:p>
        </w:tc>
        <w:tc>
          <w:tcPr>
            <w:tcW w:w="4756" w:type="dxa"/>
            <w:vAlign w:val="center"/>
          </w:tcPr>
          <w:p w14:paraId="2C6044F5">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乙方人员未持证上岗，施工不规范的，未造成人员伤亡及较大财产损失的</w:t>
            </w:r>
          </w:p>
        </w:tc>
        <w:tc>
          <w:tcPr>
            <w:tcW w:w="1620" w:type="dxa"/>
            <w:vAlign w:val="center"/>
          </w:tcPr>
          <w:p w14:paraId="446C24B2">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扣款100元／次</w:t>
            </w:r>
          </w:p>
        </w:tc>
        <w:tc>
          <w:tcPr>
            <w:tcW w:w="2011" w:type="dxa"/>
            <w:vAlign w:val="center"/>
          </w:tcPr>
          <w:p w14:paraId="77DBF718">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造成人员伤亡，较大财产损失的按合同约定处理</w:t>
            </w:r>
          </w:p>
        </w:tc>
      </w:tr>
      <w:tr w14:paraId="7287D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25" w:type="dxa"/>
            <w:vAlign w:val="center"/>
          </w:tcPr>
          <w:p w14:paraId="46D64F4F">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5</w:t>
            </w:r>
          </w:p>
        </w:tc>
        <w:tc>
          <w:tcPr>
            <w:tcW w:w="4756" w:type="dxa"/>
            <w:vAlign w:val="center"/>
          </w:tcPr>
          <w:p w14:paraId="3863C7B6">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乙方未按时提交月度维保计划、季度评估报告及周期检测报告的</w:t>
            </w:r>
          </w:p>
        </w:tc>
        <w:tc>
          <w:tcPr>
            <w:tcW w:w="1620" w:type="dxa"/>
            <w:vAlign w:val="center"/>
          </w:tcPr>
          <w:p w14:paraId="49B09DF3">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扣款200元/次</w:t>
            </w:r>
          </w:p>
        </w:tc>
        <w:tc>
          <w:tcPr>
            <w:tcW w:w="2011" w:type="dxa"/>
            <w:vAlign w:val="center"/>
          </w:tcPr>
          <w:p w14:paraId="5275576D">
            <w:pPr>
              <w:spacing w:line="520" w:lineRule="exact"/>
              <w:rPr>
                <w:rFonts w:ascii="仿宋" w:hAnsi="仿宋" w:eastAsia="仿宋" w:cs="宋体"/>
                <w:color w:val="auto"/>
                <w:sz w:val="30"/>
                <w:szCs w:val="30"/>
              </w:rPr>
            </w:pPr>
          </w:p>
        </w:tc>
      </w:tr>
      <w:tr w14:paraId="02AD9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2" w:hRule="atLeast"/>
          <w:jc w:val="center"/>
        </w:trPr>
        <w:tc>
          <w:tcPr>
            <w:tcW w:w="825" w:type="dxa"/>
            <w:vAlign w:val="center"/>
          </w:tcPr>
          <w:p w14:paraId="2D352FEA">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6</w:t>
            </w:r>
          </w:p>
        </w:tc>
        <w:tc>
          <w:tcPr>
            <w:tcW w:w="4756" w:type="dxa"/>
            <w:vAlign w:val="center"/>
          </w:tcPr>
          <w:p w14:paraId="21AB9864">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乙方维保人员行为规范达不到甲方BI标准的</w:t>
            </w:r>
          </w:p>
        </w:tc>
        <w:tc>
          <w:tcPr>
            <w:tcW w:w="1620" w:type="dxa"/>
            <w:vAlign w:val="center"/>
          </w:tcPr>
          <w:p w14:paraId="0F0EC85F">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扣款50元／次</w:t>
            </w:r>
          </w:p>
        </w:tc>
        <w:tc>
          <w:tcPr>
            <w:tcW w:w="2011" w:type="dxa"/>
            <w:vAlign w:val="center"/>
          </w:tcPr>
          <w:p w14:paraId="0B73D157">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进场时甲方会进行BI交底及培训</w:t>
            </w:r>
          </w:p>
        </w:tc>
      </w:tr>
      <w:tr w14:paraId="2E51D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25" w:type="dxa"/>
            <w:vAlign w:val="center"/>
          </w:tcPr>
          <w:p w14:paraId="04334C57">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7</w:t>
            </w:r>
          </w:p>
        </w:tc>
        <w:tc>
          <w:tcPr>
            <w:tcW w:w="4756" w:type="dxa"/>
            <w:vAlign w:val="center"/>
          </w:tcPr>
          <w:p w14:paraId="787763DE">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因乙方工作疏忽，致各种维保资料的不完整，填写不规范</w:t>
            </w:r>
          </w:p>
        </w:tc>
        <w:tc>
          <w:tcPr>
            <w:tcW w:w="1620" w:type="dxa"/>
            <w:vAlign w:val="center"/>
          </w:tcPr>
          <w:p w14:paraId="45993603">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扣款50元／项</w:t>
            </w:r>
          </w:p>
        </w:tc>
        <w:tc>
          <w:tcPr>
            <w:tcW w:w="2011" w:type="dxa"/>
            <w:vAlign w:val="center"/>
          </w:tcPr>
          <w:p w14:paraId="74A68895">
            <w:pPr>
              <w:spacing w:line="520" w:lineRule="exact"/>
              <w:rPr>
                <w:rFonts w:ascii="仿宋" w:hAnsi="仿宋" w:eastAsia="仿宋" w:cs="宋体"/>
                <w:color w:val="auto"/>
                <w:sz w:val="30"/>
                <w:szCs w:val="30"/>
              </w:rPr>
            </w:pPr>
          </w:p>
        </w:tc>
      </w:tr>
      <w:tr w14:paraId="652F0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25" w:type="dxa"/>
            <w:vAlign w:val="center"/>
          </w:tcPr>
          <w:p w14:paraId="3015102F">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8</w:t>
            </w:r>
          </w:p>
        </w:tc>
        <w:tc>
          <w:tcPr>
            <w:tcW w:w="4756" w:type="dxa"/>
            <w:vAlign w:val="center"/>
          </w:tcPr>
          <w:p w14:paraId="21FA784F">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甲方公司品质检查、集团安全检查、集团标准检查，因乙方维保不到位，造成不合格项</w:t>
            </w:r>
          </w:p>
        </w:tc>
        <w:tc>
          <w:tcPr>
            <w:tcW w:w="1620" w:type="dxa"/>
            <w:vAlign w:val="center"/>
          </w:tcPr>
          <w:p w14:paraId="309AD0E6">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扣款50-100元／项。</w:t>
            </w:r>
          </w:p>
        </w:tc>
        <w:tc>
          <w:tcPr>
            <w:tcW w:w="2011" w:type="dxa"/>
            <w:vAlign w:val="center"/>
          </w:tcPr>
          <w:p w14:paraId="43AB4021">
            <w:pPr>
              <w:spacing w:line="520" w:lineRule="exact"/>
              <w:rPr>
                <w:rFonts w:ascii="仿宋" w:hAnsi="仿宋" w:eastAsia="仿宋" w:cs="宋体"/>
                <w:color w:val="auto"/>
                <w:sz w:val="30"/>
                <w:szCs w:val="30"/>
              </w:rPr>
            </w:pPr>
          </w:p>
        </w:tc>
      </w:tr>
      <w:tr w14:paraId="4E895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25" w:type="dxa"/>
            <w:vAlign w:val="center"/>
          </w:tcPr>
          <w:p w14:paraId="610B7044">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9</w:t>
            </w:r>
          </w:p>
        </w:tc>
        <w:tc>
          <w:tcPr>
            <w:tcW w:w="4756" w:type="dxa"/>
            <w:vAlign w:val="center"/>
          </w:tcPr>
          <w:p w14:paraId="3B64B514">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在甲方评估或检查出问题时，通知乙方按国家、合同相关要求进行整改而乙方拒不执行时，或经整改仍不合格的。</w:t>
            </w:r>
          </w:p>
        </w:tc>
        <w:tc>
          <w:tcPr>
            <w:tcW w:w="1620" w:type="dxa"/>
            <w:vAlign w:val="center"/>
          </w:tcPr>
          <w:p w14:paraId="2F19032B">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扣款1000元—2000元</w:t>
            </w:r>
          </w:p>
        </w:tc>
        <w:tc>
          <w:tcPr>
            <w:tcW w:w="2011" w:type="dxa"/>
            <w:vAlign w:val="center"/>
          </w:tcPr>
          <w:p w14:paraId="2C750091">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并承担损失</w:t>
            </w:r>
          </w:p>
        </w:tc>
      </w:tr>
      <w:tr w14:paraId="1EB5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25" w:type="dxa"/>
            <w:vAlign w:val="center"/>
          </w:tcPr>
          <w:p w14:paraId="37B1BBB1">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10</w:t>
            </w:r>
          </w:p>
        </w:tc>
        <w:tc>
          <w:tcPr>
            <w:tcW w:w="4756" w:type="dxa"/>
            <w:vAlign w:val="center"/>
          </w:tcPr>
          <w:p w14:paraId="342CE4E1">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乙方维保中造成客户有效投诉</w:t>
            </w:r>
          </w:p>
        </w:tc>
        <w:tc>
          <w:tcPr>
            <w:tcW w:w="1620" w:type="dxa"/>
            <w:vAlign w:val="center"/>
          </w:tcPr>
          <w:p w14:paraId="6ADD589B">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扣款100-500元／次</w:t>
            </w:r>
          </w:p>
        </w:tc>
        <w:tc>
          <w:tcPr>
            <w:tcW w:w="2011" w:type="dxa"/>
            <w:vAlign w:val="center"/>
          </w:tcPr>
          <w:p w14:paraId="18070328">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并承担损失</w:t>
            </w:r>
          </w:p>
        </w:tc>
      </w:tr>
      <w:tr w14:paraId="41379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825" w:type="dxa"/>
            <w:vAlign w:val="center"/>
          </w:tcPr>
          <w:p w14:paraId="5389B20B">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11</w:t>
            </w:r>
          </w:p>
        </w:tc>
        <w:tc>
          <w:tcPr>
            <w:tcW w:w="4756" w:type="dxa"/>
            <w:vAlign w:val="center"/>
          </w:tcPr>
          <w:p w14:paraId="4B2059BE">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安监、创优等国家相关部门在检查时，因乙方的原因检查不合格或是被处罚的。</w:t>
            </w:r>
          </w:p>
        </w:tc>
        <w:tc>
          <w:tcPr>
            <w:tcW w:w="1620" w:type="dxa"/>
            <w:vAlign w:val="center"/>
          </w:tcPr>
          <w:p w14:paraId="1BBB0D90">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扣款200至2000元</w:t>
            </w:r>
          </w:p>
        </w:tc>
        <w:tc>
          <w:tcPr>
            <w:tcW w:w="2011" w:type="dxa"/>
            <w:vAlign w:val="center"/>
          </w:tcPr>
          <w:p w14:paraId="3CE2D62E">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并承担一切损失</w:t>
            </w:r>
          </w:p>
        </w:tc>
      </w:tr>
      <w:tr w14:paraId="511EE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2D641150">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12</w:t>
            </w:r>
          </w:p>
        </w:tc>
        <w:tc>
          <w:tcPr>
            <w:tcW w:w="4756" w:type="dxa"/>
            <w:vAlign w:val="center"/>
          </w:tcPr>
          <w:p w14:paraId="2DFF60EC">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w:t>
            </w:r>
            <w:r>
              <w:rPr>
                <w:rFonts w:hint="eastAsia" w:ascii="仿宋" w:hAnsi="仿宋" w:eastAsia="仿宋" w:cs="宋体"/>
                <w:color w:val="auto"/>
                <w:sz w:val="30"/>
                <w:szCs w:val="30"/>
                <w:u w:val="single"/>
              </w:rPr>
              <w:t xml:space="preserve"> 200 </w:t>
            </w:r>
            <w:r>
              <w:rPr>
                <w:rFonts w:hint="eastAsia" w:ascii="仿宋" w:hAnsi="仿宋" w:eastAsia="仿宋" w:cs="宋体"/>
                <w:color w:val="auto"/>
                <w:sz w:val="30"/>
                <w:szCs w:val="30"/>
              </w:rPr>
              <w:t>元以下免费更换范围内的故障设备（见</w:t>
            </w:r>
            <w:r>
              <w:rPr>
                <w:rFonts w:hint="eastAsia" w:ascii="仿宋" w:hAnsi="仿宋" w:eastAsia="仿宋" w:cs="宋体"/>
                <w:bCs/>
                <w:color w:val="auto"/>
                <w:sz w:val="30"/>
                <w:szCs w:val="30"/>
                <w:u w:val="single"/>
              </w:rPr>
              <w:t xml:space="preserve"> 200 </w:t>
            </w:r>
            <w:r>
              <w:rPr>
                <w:rFonts w:hint="eastAsia" w:ascii="仿宋" w:hAnsi="仿宋" w:eastAsia="仿宋" w:cs="宋体"/>
                <w:bCs/>
                <w:color w:val="auto"/>
                <w:sz w:val="30"/>
                <w:szCs w:val="30"/>
              </w:rPr>
              <w:t>元以下免费配件清单</w:t>
            </w:r>
            <w:r>
              <w:rPr>
                <w:rFonts w:hint="eastAsia" w:ascii="仿宋" w:hAnsi="仿宋" w:eastAsia="仿宋" w:cs="宋体"/>
                <w:color w:val="auto"/>
                <w:sz w:val="30"/>
                <w:szCs w:val="30"/>
              </w:rPr>
              <w:t>），未按合同要求时间内及时跟换处理的</w:t>
            </w:r>
          </w:p>
        </w:tc>
        <w:tc>
          <w:tcPr>
            <w:tcW w:w="1620" w:type="dxa"/>
            <w:vAlign w:val="center"/>
          </w:tcPr>
          <w:p w14:paraId="2FBFBD31">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扣款100~200元/次</w:t>
            </w:r>
          </w:p>
        </w:tc>
        <w:tc>
          <w:tcPr>
            <w:tcW w:w="2011" w:type="dxa"/>
            <w:vAlign w:val="center"/>
          </w:tcPr>
          <w:p w14:paraId="1B28DC9C">
            <w:pPr>
              <w:spacing w:line="520" w:lineRule="exact"/>
              <w:ind w:firstLine="150" w:firstLineChars="50"/>
              <w:rPr>
                <w:rFonts w:ascii="仿宋" w:hAnsi="仿宋" w:eastAsia="仿宋" w:cs="宋体"/>
                <w:color w:val="auto"/>
                <w:sz w:val="30"/>
                <w:szCs w:val="30"/>
              </w:rPr>
            </w:pPr>
            <w:r>
              <w:rPr>
                <w:rFonts w:hint="eastAsia" w:ascii="仿宋" w:hAnsi="仿宋" w:eastAsia="仿宋" w:cs="宋体"/>
                <w:color w:val="auto"/>
                <w:sz w:val="30"/>
                <w:szCs w:val="30"/>
              </w:rPr>
              <w:t>并承担相应责任损失</w:t>
            </w:r>
          </w:p>
        </w:tc>
      </w:tr>
      <w:tr w14:paraId="1F5A6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0C7063B5">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13</w:t>
            </w:r>
          </w:p>
        </w:tc>
        <w:tc>
          <w:tcPr>
            <w:tcW w:w="4756" w:type="dxa"/>
            <w:vAlign w:val="center"/>
          </w:tcPr>
          <w:p w14:paraId="736FED49">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在有重大设备故障时，乙方接到通知不配合处理的</w:t>
            </w:r>
          </w:p>
        </w:tc>
        <w:tc>
          <w:tcPr>
            <w:tcW w:w="1620" w:type="dxa"/>
            <w:vAlign w:val="center"/>
          </w:tcPr>
          <w:p w14:paraId="48A7A6A9">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扣款500~1000元/次</w:t>
            </w:r>
          </w:p>
        </w:tc>
        <w:tc>
          <w:tcPr>
            <w:tcW w:w="2011" w:type="dxa"/>
            <w:vAlign w:val="center"/>
          </w:tcPr>
          <w:p w14:paraId="66E7772D">
            <w:pPr>
              <w:spacing w:line="520" w:lineRule="exact"/>
              <w:ind w:firstLine="150" w:firstLineChars="50"/>
              <w:rPr>
                <w:rFonts w:ascii="仿宋" w:hAnsi="仿宋" w:eastAsia="仿宋" w:cs="宋体"/>
                <w:color w:val="auto"/>
                <w:sz w:val="30"/>
                <w:szCs w:val="30"/>
              </w:rPr>
            </w:pPr>
            <w:r>
              <w:rPr>
                <w:rFonts w:hint="eastAsia" w:ascii="仿宋" w:hAnsi="仿宋" w:eastAsia="仿宋" w:cs="宋体"/>
                <w:color w:val="auto"/>
                <w:sz w:val="30"/>
                <w:szCs w:val="30"/>
              </w:rPr>
              <w:t>并承担损失</w:t>
            </w:r>
          </w:p>
        </w:tc>
      </w:tr>
      <w:tr w14:paraId="1750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3267CD61">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14</w:t>
            </w:r>
          </w:p>
        </w:tc>
        <w:tc>
          <w:tcPr>
            <w:tcW w:w="4756" w:type="dxa"/>
            <w:vAlign w:val="center"/>
          </w:tcPr>
          <w:p w14:paraId="3502290A">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乙方维保中造成的任何（设备、人身、财产）损失由乙方负全责，并接受相关处罚。</w:t>
            </w:r>
          </w:p>
        </w:tc>
        <w:tc>
          <w:tcPr>
            <w:tcW w:w="1620" w:type="dxa"/>
            <w:vAlign w:val="center"/>
          </w:tcPr>
          <w:p w14:paraId="23C8841B">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按合同约定处理</w:t>
            </w:r>
          </w:p>
        </w:tc>
        <w:tc>
          <w:tcPr>
            <w:tcW w:w="2011" w:type="dxa"/>
            <w:vAlign w:val="center"/>
          </w:tcPr>
          <w:p w14:paraId="77887EB2">
            <w:pPr>
              <w:spacing w:line="520" w:lineRule="exact"/>
              <w:ind w:firstLine="150" w:firstLineChars="50"/>
              <w:rPr>
                <w:rFonts w:ascii="仿宋" w:hAnsi="仿宋" w:eastAsia="仿宋" w:cs="宋体"/>
                <w:color w:val="auto"/>
                <w:sz w:val="30"/>
                <w:szCs w:val="30"/>
              </w:rPr>
            </w:pPr>
          </w:p>
        </w:tc>
      </w:tr>
      <w:tr w14:paraId="07425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313147E5">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15</w:t>
            </w:r>
          </w:p>
        </w:tc>
        <w:tc>
          <w:tcPr>
            <w:tcW w:w="4756" w:type="dxa"/>
            <w:vAlign w:val="center"/>
          </w:tcPr>
          <w:p w14:paraId="53814383">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乙方进场后不能按照要求及项目实施需要配置足额的维保人员</w:t>
            </w:r>
          </w:p>
        </w:tc>
        <w:tc>
          <w:tcPr>
            <w:tcW w:w="1620" w:type="dxa"/>
            <w:vAlign w:val="center"/>
          </w:tcPr>
          <w:p w14:paraId="2F2EA816">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扣款300元/每人</w:t>
            </w:r>
          </w:p>
        </w:tc>
        <w:tc>
          <w:tcPr>
            <w:tcW w:w="2011" w:type="dxa"/>
            <w:vAlign w:val="center"/>
          </w:tcPr>
          <w:p w14:paraId="264B624B">
            <w:pPr>
              <w:spacing w:line="520" w:lineRule="exact"/>
              <w:ind w:firstLine="150" w:firstLineChars="50"/>
              <w:rPr>
                <w:rFonts w:ascii="仿宋" w:hAnsi="仿宋" w:eastAsia="仿宋" w:cs="宋体"/>
                <w:color w:val="auto"/>
                <w:sz w:val="30"/>
                <w:szCs w:val="30"/>
              </w:rPr>
            </w:pPr>
          </w:p>
        </w:tc>
      </w:tr>
      <w:tr w14:paraId="7F93B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36521D79">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16</w:t>
            </w:r>
          </w:p>
        </w:tc>
        <w:tc>
          <w:tcPr>
            <w:tcW w:w="4756" w:type="dxa"/>
            <w:vAlign w:val="center"/>
          </w:tcPr>
          <w:p w14:paraId="1EF88D70">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消防等政府有关部门检查发现的不合格项导致罚款或整改的</w:t>
            </w:r>
          </w:p>
        </w:tc>
        <w:tc>
          <w:tcPr>
            <w:tcW w:w="1620" w:type="dxa"/>
            <w:vAlign w:val="center"/>
          </w:tcPr>
          <w:p w14:paraId="70B584CE">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承担对应的罚款金额及合同违约责任</w:t>
            </w:r>
          </w:p>
        </w:tc>
        <w:tc>
          <w:tcPr>
            <w:tcW w:w="2011" w:type="dxa"/>
            <w:vAlign w:val="center"/>
          </w:tcPr>
          <w:p w14:paraId="7DFB5460">
            <w:pPr>
              <w:spacing w:line="520" w:lineRule="exact"/>
              <w:ind w:firstLine="150" w:firstLineChars="50"/>
              <w:rPr>
                <w:rFonts w:ascii="仿宋" w:hAnsi="仿宋" w:eastAsia="仿宋" w:cs="宋体"/>
                <w:color w:val="auto"/>
                <w:sz w:val="30"/>
                <w:szCs w:val="30"/>
              </w:rPr>
            </w:pPr>
          </w:p>
        </w:tc>
      </w:tr>
      <w:tr w14:paraId="3FA16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825" w:type="dxa"/>
            <w:vAlign w:val="center"/>
          </w:tcPr>
          <w:p w14:paraId="5B06341D">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17</w:t>
            </w:r>
          </w:p>
        </w:tc>
        <w:tc>
          <w:tcPr>
            <w:tcW w:w="4756" w:type="dxa"/>
            <w:vAlign w:val="center"/>
          </w:tcPr>
          <w:p w14:paraId="2E3CF855">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在设备发生故障或其他突发事件时，乙方按合同约定时间（30分钟）内到达现场，积极配合甲方处理，未造成重大损失的</w:t>
            </w:r>
          </w:p>
        </w:tc>
        <w:tc>
          <w:tcPr>
            <w:tcW w:w="1620" w:type="dxa"/>
            <w:vAlign w:val="center"/>
          </w:tcPr>
          <w:p w14:paraId="119EA1A2">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奖励200元—300元</w:t>
            </w:r>
          </w:p>
        </w:tc>
        <w:tc>
          <w:tcPr>
            <w:tcW w:w="2011" w:type="dxa"/>
            <w:vAlign w:val="center"/>
          </w:tcPr>
          <w:p w14:paraId="7DC7B5FC">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非乙方原因</w:t>
            </w:r>
          </w:p>
        </w:tc>
      </w:tr>
      <w:tr w14:paraId="1699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25" w:type="dxa"/>
            <w:vAlign w:val="center"/>
          </w:tcPr>
          <w:p w14:paraId="3444A34C">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18</w:t>
            </w:r>
          </w:p>
        </w:tc>
        <w:tc>
          <w:tcPr>
            <w:tcW w:w="4756" w:type="dxa"/>
            <w:vAlign w:val="center"/>
          </w:tcPr>
          <w:p w14:paraId="007D3EF9">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乙方在对甲方的设备维护中，提出技术革新等合理化建议，被甲方采用，并带来了一定的经济、安全效益的</w:t>
            </w:r>
          </w:p>
        </w:tc>
        <w:tc>
          <w:tcPr>
            <w:tcW w:w="1620" w:type="dxa"/>
            <w:vAlign w:val="center"/>
          </w:tcPr>
          <w:p w14:paraId="2B5D80BC">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奖励200—300元／次</w:t>
            </w:r>
          </w:p>
        </w:tc>
        <w:tc>
          <w:tcPr>
            <w:tcW w:w="2011" w:type="dxa"/>
            <w:vAlign w:val="center"/>
          </w:tcPr>
          <w:p w14:paraId="6FEC6C00">
            <w:pPr>
              <w:spacing w:line="520" w:lineRule="exact"/>
              <w:rPr>
                <w:rFonts w:ascii="仿宋" w:hAnsi="仿宋" w:eastAsia="仿宋" w:cs="宋体"/>
                <w:color w:val="auto"/>
                <w:sz w:val="30"/>
                <w:szCs w:val="30"/>
              </w:rPr>
            </w:pPr>
          </w:p>
        </w:tc>
      </w:tr>
      <w:tr w14:paraId="1ADD9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25" w:type="dxa"/>
            <w:vAlign w:val="center"/>
          </w:tcPr>
          <w:p w14:paraId="41A21FC6">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19</w:t>
            </w:r>
          </w:p>
        </w:tc>
        <w:tc>
          <w:tcPr>
            <w:tcW w:w="4756" w:type="dxa"/>
            <w:vAlign w:val="center"/>
          </w:tcPr>
          <w:p w14:paraId="25331691">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乙方在对甲方的设备维护中，发现重大安全隐患（甲方原因），并及时协助甲方处理，避免造成重大损失的</w:t>
            </w:r>
          </w:p>
        </w:tc>
        <w:tc>
          <w:tcPr>
            <w:tcW w:w="1620" w:type="dxa"/>
            <w:vAlign w:val="center"/>
          </w:tcPr>
          <w:p w14:paraId="4D7A2B25">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奖励500至2000元</w:t>
            </w:r>
          </w:p>
        </w:tc>
        <w:tc>
          <w:tcPr>
            <w:tcW w:w="2011" w:type="dxa"/>
            <w:vAlign w:val="center"/>
          </w:tcPr>
          <w:p w14:paraId="20D88F42">
            <w:pPr>
              <w:spacing w:line="520" w:lineRule="exact"/>
              <w:rPr>
                <w:rFonts w:ascii="仿宋" w:hAnsi="仿宋" w:eastAsia="仿宋" w:cs="宋体"/>
                <w:color w:val="auto"/>
                <w:sz w:val="30"/>
                <w:szCs w:val="30"/>
              </w:rPr>
            </w:pPr>
          </w:p>
        </w:tc>
      </w:tr>
      <w:tr w14:paraId="0B2B2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25" w:type="dxa"/>
            <w:vAlign w:val="center"/>
          </w:tcPr>
          <w:p w14:paraId="7E16D9A5">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20</w:t>
            </w:r>
          </w:p>
        </w:tc>
        <w:tc>
          <w:tcPr>
            <w:tcW w:w="4756" w:type="dxa"/>
            <w:vAlign w:val="center"/>
          </w:tcPr>
          <w:p w14:paraId="752835E1">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因乙方的积极配合，甲方在安监、创优等国家相关部门在检查时，取得优异成绩的</w:t>
            </w:r>
          </w:p>
        </w:tc>
        <w:tc>
          <w:tcPr>
            <w:tcW w:w="1620" w:type="dxa"/>
            <w:vAlign w:val="center"/>
          </w:tcPr>
          <w:p w14:paraId="44E86C71">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奖励300至500元</w:t>
            </w:r>
          </w:p>
        </w:tc>
        <w:tc>
          <w:tcPr>
            <w:tcW w:w="2011" w:type="dxa"/>
            <w:vAlign w:val="center"/>
          </w:tcPr>
          <w:p w14:paraId="213A6B9F">
            <w:pPr>
              <w:spacing w:line="520" w:lineRule="exact"/>
              <w:rPr>
                <w:rFonts w:ascii="仿宋" w:hAnsi="仿宋" w:eastAsia="仿宋" w:cs="宋体"/>
                <w:color w:val="auto"/>
                <w:sz w:val="30"/>
                <w:szCs w:val="30"/>
              </w:rPr>
            </w:pPr>
          </w:p>
        </w:tc>
      </w:tr>
    </w:tbl>
    <w:p w14:paraId="0B257BB0">
      <w:pPr>
        <w:spacing w:line="520" w:lineRule="exact"/>
        <w:rPr>
          <w:rFonts w:ascii="仿宋" w:hAnsi="仿宋" w:eastAsia="仿宋"/>
          <w:color w:val="auto"/>
          <w:sz w:val="30"/>
          <w:szCs w:val="30"/>
        </w:rPr>
      </w:pPr>
      <w:r>
        <w:rPr>
          <w:rFonts w:hint="eastAsia" w:ascii="仿宋" w:hAnsi="仿宋" w:eastAsia="仿宋"/>
          <w:color w:val="auto"/>
          <w:sz w:val="30"/>
          <w:szCs w:val="30"/>
        </w:rPr>
        <w:br w:type="page"/>
      </w:r>
    </w:p>
    <w:p w14:paraId="4D55FC49">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附件四：单品单件</w:t>
      </w:r>
      <w:r>
        <w:rPr>
          <w:rFonts w:ascii="仿宋" w:hAnsi="仿宋" w:eastAsia="仿宋"/>
          <w:b/>
          <w:bCs/>
          <w:color w:val="auto"/>
          <w:sz w:val="30"/>
          <w:szCs w:val="30"/>
          <w:u w:val="single"/>
        </w:rPr>
        <w:t>200</w:t>
      </w:r>
      <w:r>
        <w:rPr>
          <w:rFonts w:hint="eastAsia" w:ascii="仿宋" w:hAnsi="仿宋" w:eastAsia="仿宋"/>
          <w:b/>
          <w:bCs/>
          <w:color w:val="auto"/>
          <w:sz w:val="30"/>
          <w:szCs w:val="30"/>
        </w:rPr>
        <w:t>元以下免费配件清单（费用含在维保费中）</w:t>
      </w:r>
    </w:p>
    <w:tbl>
      <w:tblPr>
        <w:tblStyle w:val="8"/>
        <w:tblW w:w="9351"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0"/>
        <w:gridCol w:w="3400"/>
        <w:gridCol w:w="2154"/>
        <w:gridCol w:w="2777"/>
      </w:tblGrid>
      <w:tr w14:paraId="3C8531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5A2F417F">
            <w:pPr>
              <w:pStyle w:val="14"/>
              <w:spacing w:before="195"/>
              <w:ind w:left="230"/>
              <w:rPr>
                <w:color w:val="auto"/>
                <w:sz w:val="28"/>
              </w:rPr>
            </w:pPr>
            <w:r>
              <w:rPr>
                <w:color w:val="auto"/>
                <w:sz w:val="28"/>
              </w:rPr>
              <w:t>序号</w:t>
            </w:r>
          </w:p>
        </w:tc>
        <w:tc>
          <w:tcPr>
            <w:tcW w:w="3400" w:type="dxa"/>
            <w:shd w:val="clear" w:color="auto" w:fill="auto"/>
          </w:tcPr>
          <w:p w14:paraId="65777AF4">
            <w:pPr>
              <w:pStyle w:val="14"/>
              <w:spacing w:before="195"/>
              <w:ind w:left="828"/>
              <w:rPr>
                <w:color w:val="auto"/>
                <w:sz w:val="28"/>
              </w:rPr>
            </w:pPr>
            <w:r>
              <w:rPr>
                <w:color w:val="auto"/>
                <w:sz w:val="28"/>
              </w:rPr>
              <w:t>配件名称</w:t>
            </w:r>
          </w:p>
        </w:tc>
        <w:tc>
          <w:tcPr>
            <w:tcW w:w="2154" w:type="dxa"/>
            <w:shd w:val="clear" w:color="auto" w:fill="auto"/>
          </w:tcPr>
          <w:p w14:paraId="406BFC2B">
            <w:pPr>
              <w:pStyle w:val="14"/>
              <w:spacing w:before="195"/>
              <w:ind w:left="828"/>
              <w:rPr>
                <w:color w:val="auto"/>
                <w:sz w:val="28"/>
              </w:rPr>
            </w:pPr>
            <w:r>
              <w:rPr>
                <w:color w:val="auto"/>
                <w:sz w:val="28"/>
              </w:rPr>
              <w:t>品牌型号</w:t>
            </w:r>
          </w:p>
        </w:tc>
        <w:tc>
          <w:tcPr>
            <w:tcW w:w="2777" w:type="dxa"/>
            <w:shd w:val="clear" w:color="auto" w:fill="auto"/>
          </w:tcPr>
          <w:p w14:paraId="3DD192CF">
            <w:pPr>
              <w:pStyle w:val="14"/>
              <w:spacing w:before="195"/>
              <w:ind w:left="107" w:right="94"/>
              <w:jc w:val="center"/>
              <w:rPr>
                <w:color w:val="auto"/>
                <w:sz w:val="28"/>
              </w:rPr>
            </w:pPr>
            <w:r>
              <w:rPr>
                <w:color w:val="auto"/>
                <w:sz w:val="28"/>
              </w:rPr>
              <w:t>备注</w:t>
            </w:r>
          </w:p>
        </w:tc>
      </w:tr>
      <w:tr w14:paraId="07B71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597D0D7D">
            <w:pPr>
              <w:pStyle w:val="14"/>
              <w:ind w:left="9"/>
              <w:jc w:val="center"/>
              <w:rPr>
                <w:color w:val="auto"/>
                <w:sz w:val="28"/>
              </w:rPr>
            </w:pPr>
            <w:r>
              <w:rPr>
                <w:color w:val="auto"/>
                <w:sz w:val="28"/>
              </w:rPr>
              <w:t>1</w:t>
            </w:r>
          </w:p>
        </w:tc>
        <w:tc>
          <w:tcPr>
            <w:tcW w:w="3400" w:type="dxa"/>
            <w:shd w:val="clear" w:color="auto" w:fill="auto"/>
          </w:tcPr>
          <w:p w14:paraId="3FF0E709">
            <w:pPr>
              <w:pStyle w:val="14"/>
              <w:spacing w:before="132"/>
              <w:ind w:right="100"/>
              <w:rPr>
                <w:color w:val="auto"/>
                <w:sz w:val="28"/>
              </w:rPr>
            </w:pPr>
            <w:r>
              <w:rPr>
                <w:color w:val="auto"/>
                <w:sz w:val="28"/>
              </w:rPr>
              <w:t>喷淋、消火栓管道配件</w:t>
            </w:r>
          </w:p>
        </w:tc>
        <w:tc>
          <w:tcPr>
            <w:tcW w:w="2154" w:type="dxa"/>
            <w:shd w:val="clear" w:color="auto" w:fill="auto"/>
          </w:tcPr>
          <w:p w14:paraId="4DDD5B19">
            <w:pPr>
              <w:pStyle w:val="14"/>
              <w:ind w:left="108"/>
              <w:rPr>
                <w:color w:val="auto"/>
                <w:sz w:val="28"/>
              </w:rPr>
            </w:pPr>
            <w:r>
              <w:rPr>
                <w:color w:val="auto"/>
                <w:sz w:val="28"/>
              </w:rPr>
              <w:t>国标</w:t>
            </w:r>
          </w:p>
        </w:tc>
        <w:tc>
          <w:tcPr>
            <w:tcW w:w="2777" w:type="dxa"/>
            <w:shd w:val="clear" w:color="auto" w:fill="auto"/>
          </w:tcPr>
          <w:p w14:paraId="570A635E">
            <w:pPr>
              <w:pStyle w:val="14"/>
              <w:ind w:left="108"/>
              <w:rPr>
                <w:color w:val="auto"/>
                <w:sz w:val="28"/>
              </w:rPr>
            </w:pPr>
            <w:r>
              <w:rPr>
                <w:color w:val="auto"/>
                <w:sz w:val="28"/>
              </w:rPr>
              <w:t>不含大于 DN50 阀门</w:t>
            </w:r>
          </w:p>
        </w:tc>
      </w:tr>
      <w:tr w14:paraId="21287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7E172A24">
            <w:pPr>
              <w:pStyle w:val="14"/>
              <w:spacing w:before="195"/>
              <w:ind w:left="9"/>
              <w:jc w:val="center"/>
              <w:rPr>
                <w:color w:val="auto"/>
                <w:sz w:val="28"/>
              </w:rPr>
            </w:pPr>
            <w:r>
              <w:rPr>
                <w:color w:val="auto"/>
                <w:sz w:val="28"/>
              </w:rPr>
              <w:t>2</w:t>
            </w:r>
          </w:p>
        </w:tc>
        <w:tc>
          <w:tcPr>
            <w:tcW w:w="3400" w:type="dxa"/>
            <w:shd w:val="clear" w:color="auto" w:fill="auto"/>
          </w:tcPr>
          <w:p w14:paraId="5EEF5C96">
            <w:pPr>
              <w:pStyle w:val="14"/>
              <w:spacing w:before="195"/>
              <w:ind w:left="108"/>
              <w:rPr>
                <w:color w:val="auto"/>
                <w:sz w:val="28"/>
              </w:rPr>
            </w:pPr>
            <w:r>
              <w:rPr>
                <w:color w:val="auto"/>
                <w:sz w:val="28"/>
              </w:rPr>
              <w:t>光电感烟探测器</w:t>
            </w:r>
          </w:p>
        </w:tc>
        <w:tc>
          <w:tcPr>
            <w:tcW w:w="2154" w:type="dxa"/>
            <w:shd w:val="clear" w:color="auto" w:fill="auto"/>
          </w:tcPr>
          <w:p w14:paraId="6989C914">
            <w:pPr>
              <w:pStyle w:val="14"/>
              <w:spacing w:before="195"/>
              <w:ind w:left="108"/>
              <w:rPr>
                <w:color w:val="auto"/>
                <w:sz w:val="28"/>
              </w:rPr>
            </w:pPr>
            <w:r>
              <w:rPr>
                <w:color w:val="auto"/>
                <w:sz w:val="28"/>
              </w:rPr>
              <w:t>北大青鸟</w:t>
            </w:r>
          </w:p>
        </w:tc>
        <w:tc>
          <w:tcPr>
            <w:tcW w:w="2777" w:type="dxa"/>
            <w:shd w:val="clear" w:color="auto" w:fill="auto"/>
          </w:tcPr>
          <w:p w14:paraId="2ED40D93">
            <w:pPr>
              <w:pStyle w:val="14"/>
              <w:rPr>
                <w:rFonts w:ascii="Times New Roman"/>
                <w:color w:val="auto"/>
                <w:sz w:val="28"/>
              </w:rPr>
            </w:pPr>
          </w:p>
        </w:tc>
      </w:tr>
      <w:tr w14:paraId="56B0C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0761C58E">
            <w:pPr>
              <w:pStyle w:val="14"/>
              <w:spacing w:before="195"/>
              <w:ind w:left="186"/>
              <w:jc w:val="center"/>
              <w:rPr>
                <w:color w:val="auto"/>
                <w:sz w:val="28"/>
              </w:rPr>
            </w:pPr>
            <w:r>
              <w:rPr>
                <w:color w:val="auto"/>
                <w:sz w:val="28"/>
              </w:rPr>
              <w:t>3</w:t>
            </w:r>
          </w:p>
        </w:tc>
        <w:tc>
          <w:tcPr>
            <w:tcW w:w="3400" w:type="dxa"/>
            <w:shd w:val="clear" w:color="auto" w:fill="auto"/>
          </w:tcPr>
          <w:p w14:paraId="3BCEC7B0">
            <w:pPr>
              <w:pStyle w:val="14"/>
              <w:spacing w:before="195"/>
              <w:ind w:left="108"/>
              <w:rPr>
                <w:color w:val="auto"/>
                <w:sz w:val="28"/>
              </w:rPr>
            </w:pPr>
            <w:r>
              <w:rPr>
                <w:color w:val="auto"/>
                <w:sz w:val="28"/>
              </w:rPr>
              <w:t>感温探测器</w:t>
            </w:r>
          </w:p>
        </w:tc>
        <w:tc>
          <w:tcPr>
            <w:tcW w:w="2154" w:type="dxa"/>
            <w:shd w:val="clear" w:color="auto" w:fill="auto"/>
          </w:tcPr>
          <w:p w14:paraId="5A963DD2">
            <w:pPr>
              <w:pStyle w:val="14"/>
              <w:spacing w:before="195"/>
              <w:ind w:left="108"/>
              <w:rPr>
                <w:color w:val="auto"/>
                <w:sz w:val="28"/>
              </w:rPr>
            </w:pPr>
            <w:r>
              <w:rPr>
                <w:color w:val="auto"/>
                <w:sz w:val="28"/>
              </w:rPr>
              <w:t>北大青鸟</w:t>
            </w:r>
          </w:p>
        </w:tc>
        <w:tc>
          <w:tcPr>
            <w:tcW w:w="2777" w:type="dxa"/>
            <w:shd w:val="clear" w:color="auto" w:fill="auto"/>
          </w:tcPr>
          <w:p w14:paraId="447A4556">
            <w:pPr>
              <w:pStyle w:val="14"/>
              <w:rPr>
                <w:rFonts w:ascii="Times New Roman"/>
                <w:color w:val="auto"/>
                <w:sz w:val="28"/>
              </w:rPr>
            </w:pPr>
          </w:p>
        </w:tc>
      </w:tr>
      <w:tr w14:paraId="3E2C4F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306021B8">
            <w:pPr>
              <w:pStyle w:val="14"/>
              <w:spacing w:before="198"/>
              <w:ind w:left="9"/>
              <w:jc w:val="center"/>
              <w:rPr>
                <w:color w:val="auto"/>
                <w:sz w:val="28"/>
              </w:rPr>
            </w:pPr>
            <w:r>
              <w:rPr>
                <w:color w:val="auto"/>
                <w:sz w:val="28"/>
              </w:rPr>
              <w:t>4</w:t>
            </w:r>
          </w:p>
        </w:tc>
        <w:tc>
          <w:tcPr>
            <w:tcW w:w="3400" w:type="dxa"/>
            <w:shd w:val="clear" w:color="auto" w:fill="auto"/>
          </w:tcPr>
          <w:p w14:paraId="4819282F">
            <w:pPr>
              <w:pStyle w:val="14"/>
              <w:spacing w:before="198"/>
              <w:ind w:left="108"/>
              <w:rPr>
                <w:color w:val="auto"/>
                <w:sz w:val="28"/>
              </w:rPr>
            </w:pPr>
            <w:r>
              <w:rPr>
                <w:color w:val="auto"/>
                <w:sz w:val="28"/>
              </w:rPr>
              <w:t>输入模块</w:t>
            </w:r>
          </w:p>
        </w:tc>
        <w:tc>
          <w:tcPr>
            <w:tcW w:w="2154" w:type="dxa"/>
            <w:shd w:val="clear" w:color="auto" w:fill="auto"/>
          </w:tcPr>
          <w:p w14:paraId="38F13A43">
            <w:pPr>
              <w:pStyle w:val="14"/>
              <w:spacing w:before="198"/>
              <w:ind w:left="108"/>
              <w:rPr>
                <w:color w:val="auto"/>
                <w:sz w:val="28"/>
              </w:rPr>
            </w:pPr>
            <w:r>
              <w:rPr>
                <w:color w:val="auto"/>
                <w:sz w:val="28"/>
              </w:rPr>
              <w:t>北大青鸟</w:t>
            </w:r>
          </w:p>
        </w:tc>
        <w:tc>
          <w:tcPr>
            <w:tcW w:w="2777" w:type="dxa"/>
            <w:shd w:val="clear" w:color="auto" w:fill="auto"/>
          </w:tcPr>
          <w:p w14:paraId="53379466">
            <w:pPr>
              <w:pStyle w:val="14"/>
              <w:rPr>
                <w:rFonts w:ascii="Times New Roman"/>
                <w:color w:val="auto"/>
                <w:sz w:val="28"/>
              </w:rPr>
            </w:pPr>
          </w:p>
        </w:tc>
      </w:tr>
      <w:tr w14:paraId="001E0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403C2A88">
            <w:pPr>
              <w:pStyle w:val="14"/>
              <w:spacing w:before="195"/>
              <w:ind w:left="9"/>
              <w:jc w:val="center"/>
              <w:rPr>
                <w:color w:val="auto"/>
                <w:sz w:val="28"/>
              </w:rPr>
            </w:pPr>
            <w:r>
              <w:rPr>
                <w:color w:val="auto"/>
                <w:sz w:val="28"/>
              </w:rPr>
              <w:t>5</w:t>
            </w:r>
          </w:p>
        </w:tc>
        <w:tc>
          <w:tcPr>
            <w:tcW w:w="3400" w:type="dxa"/>
            <w:shd w:val="clear" w:color="auto" w:fill="auto"/>
          </w:tcPr>
          <w:p w14:paraId="725F40F6">
            <w:pPr>
              <w:pStyle w:val="14"/>
              <w:spacing w:before="195"/>
              <w:ind w:left="108"/>
              <w:rPr>
                <w:color w:val="auto"/>
                <w:sz w:val="28"/>
              </w:rPr>
            </w:pPr>
            <w:r>
              <w:rPr>
                <w:color w:val="auto"/>
                <w:sz w:val="28"/>
              </w:rPr>
              <w:t>接口模块</w:t>
            </w:r>
          </w:p>
        </w:tc>
        <w:tc>
          <w:tcPr>
            <w:tcW w:w="2154" w:type="dxa"/>
            <w:shd w:val="clear" w:color="auto" w:fill="auto"/>
          </w:tcPr>
          <w:p w14:paraId="316A8065">
            <w:pPr>
              <w:pStyle w:val="14"/>
              <w:spacing w:before="195"/>
              <w:ind w:left="108"/>
              <w:rPr>
                <w:color w:val="auto"/>
                <w:sz w:val="28"/>
              </w:rPr>
            </w:pPr>
            <w:r>
              <w:rPr>
                <w:color w:val="auto"/>
                <w:sz w:val="28"/>
              </w:rPr>
              <w:t>北大青鸟</w:t>
            </w:r>
          </w:p>
        </w:tc>
        <w:tc>
          <w:tcPr>
            <w:tcW w:w="2777" w:type="dxa"/>
            <w:shd w:val="clear" w:color="auto" w:fill="auto"/>
          </w:tcPr>
          <w:p w14:paraId="11769D63">
            <w:pPr>
              <w:pStyle w:val="14"/>
              <w:rPr>
                <w:rFonts w:ascii="Times New Roman"/>
                <w:color w:val="auto"/>
                <w:sz w:val="28"/>
              </w:rPr>
            </w:pPr>
          </w:p>
        </w:tc>
      </w:tr>
      <w:tr w14:paraId="71AD6A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3D01BB33">
            <w:pPr>
              <w:pStyle w:val="14"/>
              <w:spacing w:before="195"/>
              <w:ind w:left="9"/>
              <w:jc w:val="center"/>
              <w:rPr>
                <w:color w:val="auto"/>
                <w:sz w:val="28"/>
              </w:rPr>
            </w:pPr>
            <w:r>
              <w:rPr>
                <w:color w:val="auto"/>
                <w:sz w:val="28"/>
              </w:rPr>
              <w:t>6</w:t>
            </w:r>
          </w:p>
        </w:tc>
        <w:tc>
          <w:tcPr>
            <w:tcW w:w="3400" w:type="dxa"/>
            <w:shd w:val="clear" w:color="auto" w:fill="auto"/>
          </w:tcPr>
          <w:p w14:paraId="5E64E1AB">
            <w:pPr>
              <w:pStyle w:val="14"/>
              <w:spacing w:before="195"/>
              <w:ind w:left="108"/>
              <w:rPr>
                <w:color w:val="auto"/>
                <w:sz w:val="28"/>
              </w:rPr>
            </w:pPr>
            <w:r>
              <w:rPr>
                <w:color w:val="auto"/>
                <w:sz w:val="28"/>
              </w:rPr>
              <w:t>输出模块</w:t>
            </w:r>
          </w:p>
        </w:tc>
        <w:tc>
          <w:tcPr>
            <w:tcW w:w="2154" w:type="dxa"/>
            <w:shd w:val="clear" w:color="auto" w:fill="auto"/>
          </w:tcPr>
          <w:p w14:paraId="2AD69C5E">
            <w:pPr>
              <w:pStyle w:val="14"/>
              <w:spacing w:before="195"/>
              <w:ind w:left="108"/>
              <w:rPr>
                <w:color w:val="auto"/>
                <w:sz w:val="28"/>
              </w:rPr>
            </w:pPr>
            <w:r>
              <w:rPr>
                <w:color w:val="auto"/>
                <w:sz w:val="28"/>
              </w:rPr>
              <w:t>北大青鸟</w:t>
            </w:r>
          </w:p>
        </w:tc>
        <w:tc>
          <w:tcPr>
            <w:tcW w:w="2777" w:type="dxa"/>
            <w:shd w:val="clear" w:color="auto" w:fill="auto"/>
          </w:tcPr>
          <w:p w14:paraId="0989AFF4">
            <w:pPr>
              <w:pStyle w:val="14"/>
              <w:rPr>
                <w:rFonts w:ascii="Times New Roman"/>
                <w:color w:val="auto"/>
                <w:sz w:val="28"/>
              </w:rPr>
            </w:pPr>
          </w:p>
        </w:tc>
      </w:tr>
      <w:tr w14:paraId="3FAF75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6D1E7764">
            <w:pPr>
              <w:pStyle w:val="14"/>
              <w:spacing w:before="195"/>
              <w:ind w:left="9"/>
              <w:jc w:val="center"/>
              <w:rPr>
                <w:color w:val="auto"/>
                <w:sz w:val="28"/>
              </w:rPr>
            </w:pPr>
            <w:r>
              <w:rPr>
                <w:color w:val="auto"/>
                <w:sz w:val="28"/>
              </w:rPr>
              <w:t>7</w:t>
            </w:r>
          </w:p>
        </w:tc>
        <w:tc>
          <w:tcPr>
            <w:tcW w:w="3400" w:type="dxa"/>
            <w:shd w:val="clear" w:color="auto" w:fill="auto"/>
          </w:tcPr>
          <w:p w14:paraId="502FF6E6">
            <w:pPr>
              <w:pStyle w:val="14"/>
              <w:spacing w:before="195"/>
              <w:ind w:left="108"/>
              <w:rPr>
                <w:color w:val="auto"/>
                <w:sz w:val="28"/>
              </w:rPr>
            </w:pPr>
            <w:r>
              <w:rPr>
                <w:color w:val="auto"/>
                <w:sz w:val="28"/>
              </w:rPr>
              <w:t>输入输出模块</w:t>
            </w:r>
          </w:p>
        </w:tc>
        <w:tc>
          <w:tcPr>
            <w:tcW w:w="2154" w:type="dxa"/>
            <w:shd w:val="clear" w:color="auto" w:fill="auto"/>
          </w:tcPr>
          <w:p w14:paraId="55224566">
            <w:pPr>
              <w:pStyle w:val="14"/>
              <w:spacing w:before="195"/>
              <w:ind w:left="108"/>
              <w:rPr>
                <w:color w:val="auto"/>
                <w:sz w:val="28"/>
              </w:rPr>
            </w:pPr>
            <w:r>
              <w:rPr>
                <w:color w:val="auto"/>
                <w:sz w:val="28"/>
              </w:rPr>
              <w:t>北大青鸟</w:t>
            </w:r>
          </w:p>
        </w:tc>
        <w:tc>
          <w:tcPr>
            <w:tcW w:w="2777" w:type="dxa"/>
            <w:shd w:val="clear" w:color="auto" w:fill="auto"/>
          </w:tcPr>
          <w:p w14:paraId="5377A53E">
            <w:pPr>
              <w:pStyle w:val="14"/>
              <w:rPr>
                <w:rFonts w:ascii="Times New Roman"/>
                <w:color w:val="auto"/>
                <w:sz w:val="28"/>
              </w:rPr>
            </w:pPr>
          </w:p>
        </w:tc>
      </w:tr>
      <w:tr w14:paraId="668F7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124CBD5E">
            <w:pPr>
              <w:pStyle w:val="14"/>
              <w:spacing w:before="197"/>
              <w:ind w:left="9"/>
              <w:jc w:val="center"/>
              <w:rPr>
                <w:color w:val="auto"/>
                <w:sz w:val="28"/>
              </w:rPr>
            </w:pPr>
            <w:r>
              <w:rPr>
                <w:color w:val="auto"/>
                <w:sz w:val="28"/>
              </w:rPr>
              <w:t>8</w:t>
            </w:r>
          </w:p>
        </w:tc>
        <w:tc>
          <w:tcPr>
            <w:tcW w:w="3400" w:type="dxa"/>
            <w:shd w:val="clear" w:color="auto" w:fill="auto"/>
          </w:tcPr>
          <w:p w14:paraId="7697FB66">
            <w:pPr>
              <w:pStyle w:val="14"/>
              <w:spacing w:before="197"/>
              <w:ind w:left="108"/>
              <w:rPr>
                <w:color w:val="auto"/>
                <w:sz w:val="28"/>
              </w:rPr>
            </w:pPr>
            <w:r>
              <w:rPr>
                <w:color w:val="auto"/>
                <w:sz w:val="28"/>
              </w:rPr>
              <w:t>中继模块</w:t>
            </w:r>
          </w:p>
        </w:tc>
        <w:tc>
          <w:tcPr>
            <w:tcW w:w="2154" w:type="dxa"/>
            <w:shd w:val="clear" w:color="auto" w:fill="auto"/>
          </w:tcPr>
          <w:p w14:paraId="23469555">
            <w:pPr>
              <w:pStyle w:val="14"/>
              <w:spacing w:before="197"/>
              <w:ind w:left="108"/>
              <w:rPr>
                <w:color w:val="auto"/>
                <w:sz w:val="28"/>
              </w:rPr>
            </w:pPr>
            <w:r>
              <w:rPr>
                <w:color w:val="auto"/>
                <w:sz w:val="28"/>
              </w:rPr>
              <w:t>北大青鸟</w:t>
            </w:r>
          </w:p>
        </w:tc>
        <w:tc>
          <w:tcPr>
            <w:tcW w:w="2777" w:type="dxa"/>
            <w:shd w:val="clear" w:color="auto" w:fill="auto"/>
          </w:tcPr>
          <w:p w14:paraId="152F3691">
            <w:pPr>
              <w:pStyle w:val="14"/>
              <w:rPr>
                <w:rFonts w:ascii="Times New Roman"/>
                <w:color w:val="auto"/>
                <w:sz w:val="28"/>
              </w:rPr>
            </w:pPr>
          </w:p>
        </w:tc>
      </w:tr>
      <w:tr w14:paraId="540D50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0B4F8402">
            <w:pPr>
              <w:pStyle w:val="14"/>
              <w:spacing w:before="195"/>
              <w:ind w:left="9"/>
              <w:jc w:val="center"/>
              <w:rPr>
                <w:color w:val="auto"/>
                <w:sz w:val="28"/>
              </w:rPr>
            </w:pPr>
            <w:r>
              <w:rPr>
                <w:color w:val="auto"/>
                <w:sz w:val="28"/>
              </w:rPr>
              <w:t>9</w:t>
            </w:r>
          </w:p>
        </w:tc>
        <w:tc>
          <w:tcPr>
            <w:tcW w:w="3400" w:type="dxa"/>
            <w:shd w:val="clear" w:color="auto" w:fill="auto"/>
          </w:tcPr>
          <w:p w14:paraId="74D00D0F">
            <w:pPr>
              <w:pStyle w:val="14"/>
              <w:spacing w:before="195"/>
              <w:ind w:left="108"/>
              <w:rPr>
                <w:color w:val="auto"/>
                <w:sz w:val="28"/>
              </w:rPr>
            </w:pPr>
            <w:r>
              <w:rPr>
                <w:color w:val="auto"/>
                <w:sz w:val="28"/>
              </w:rPr>
              <w:t>隔离模块</w:t>
            </w:r>
          </w:p>
        </w:tc>
        <w:tc>
          <w:tcPr>
            <w:tcW w:w="2154" w:type="dxa"/>
            <w:shd w:val="clear" w:color="auto" w:fill="auto"/>
          </w:tcPr>
          <w:p w14:paraId="76B6B235">
            <w:pPr>
              <w:pStyle w:val="14"/>
              <w:spacing w:before="195"/>
              <w:ind w:left="108"/>
              <w:rPr>
                <w:color w:val="auto"/>
                <w:sz w:val="28"/>
              </w:rPr>
            </w:pPr>
            <w:r>
              <w:rPr>
                <w:color w:val="auto"/>
                <w:sz w:val="28"/>
              </w:rPr>
              <w:t>北大青鸟</w:t>
            </w:r>
          </w:p>
        </w:tc>
        <w:tc>
          <w:tcPr>
            <w:tcW w:w="2777" w:type="dxa"/>
            <w:shd w:val="clear" w:color="auto" w:fill="auto"/>
          </w:tcPr>
          <w:p w14:paraId="4E207E6B">
            <w:pPr>
              <w:pStyle w:val="14"/>
              <w:rPr>
                <w:rFonts w:ascii="Times New Roman"/>
                <w:color w:val="auto"/>
                <w:sz w:val="28"/>
              </w:rPr>
            </w:pPr>
          </w:p>
        </w:tc>
      </w:tr>
      <w:tr w14:paraId="034AD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45BBCF3">
            <w:pPr>
              <w:pStyle w:val="14"/>
              <w:spacing w:before="195"/>
              <w:ind w:left="351" w:right="339"/>
              <w:jc w:val="center"/>
              <w:rPr>
                <w:color w:val="auto"/>
                <w:sz w:val="28"/>
              </w:rPr>
            </w:pPr>
            <w:r>
              <w:rPr>
                <w:color w:val="auto"/>
                <w:sz w:val="28"/>
              </w:rPr>
              <w:t>10</w:t>
            </w:r>
          </w:p>
        </w:tc>
        <w:tc>
          <w:tcPr>
            <w:tcW w:w="3400" w:type="dxa"/>
            <w:shd w:val="clear" w:color="auto" w:fill="auto"/>
          </w:tcPr>
          <w:p w14:paraId="7C5F0804">
            <w:pPr>
              <w:pStyle w:val="14"/>
              <w:spacing w:before="195"/>
              <w:ind w:left="108"/>
              <w:rPr>
                <w:color w:val="auto"/>
                <w:sz w:val="28"/>
              </w:rPr>
            </w:pPr>
            <w:r>
              <w:rPr>
                <w:color w:val="auto"/>
                <w:sz w:val="28"/>
              </w:rPr>
              <w:t>切换模块</w:t>
            </w:r>
          </w:p>
        </w:tc>
        <w:tc>
          <w:tcPr>
            <w:tcW w:w="2154" w:type="dxa"/>
            <w:shd w:val="clear" w:color="auto" w:fill="auto"/>
          </w:tcPr>
          <w:p w14:paraId="373E34E6">
            <w:pPr>
              <w:pStyle w:val="14"/>
              <w:spacing w:before="195"/>
              <w:ind w:left="108"/>
              <w:rPr>
                <w:color w:val="auto"/>
                <w:sz w:val="28"/>
              </w:rPr>
            </w:pPr>
            <w:r>
              <w:rPr>
                <w:color w:val="auto"/>
                <w:sz w:val="28"/>
              </w:rPr>
              <w:t>北大青鸟</w:t>
            </w:r>
          </w:p>
        </w:tc>
        <w:tc>
          <w:tcPr>
            <w:tcW w:w="2777" w:type="dxa"/>
            <w:shd w:val="clear" w:color="auto" w:fill="auto"/>
          </w:tcPr>
          <w:p w14:paraId="39A7433A">
            <w:pPr>
              <w:pStyle w:val="14"/>
              <w:rPr>
                <w:rFonts w:ascii="Times New Roman"/>
                <w:color w:val="auto"/>
                <w:sz w:val="28"/>
              </w:rPr>
            </w:pPr>
          </w:p>
        </w:tc>
      </w:tr>
      <w:tr w14:paraId="63A006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35809F5B">
            <w:pPr>
              <w:pStyle w:val="14"/>
              <w:spacing w:before="195"/>
              <w:ind w:left="351" w:right="339"/>
              <w:jc w:val="center"/>
              <w:rPr>
                <w:color w:val="auto"/>
                <w:sz w:val="28"/>
              </w:rPr>
            </w:pPr>
            <w:r>
              <w:rPr>
                <w:color w:val="auto"/>
                <w:sz w:val="28"/>
              </w:rPr>
              <w:t>11</w:t>
            </w:r>
          </w:p>
        </w:tc>
        <w:tc>
          <w:tcPr>
            <w:tcW w:w="3400" w:type="dxa"/>
            <w:shd w:val="clear" w:color="auto" w:fill="auto"/>
          </w:tcPr>
          <w:p w14:paraId="1B01C6D7">
            <w:pPr>
              <w:pStyle w:val="14"/>
              <w:spacing w:before="195"/>
              <w:ind w:left="108"/>
              <w:rPr>
                <w:color w:val="auto"/>
                <w:sz w:val="28"/>
              </w:rPr>
            </w:pPr>
            <w:r>
              <w:rPr>
                <w:color w:val="auto"/>
                <w:sz w:val="28"/>
              </w:rPr>
              <w:t>手动报警按钮</w:t>
            </w:r>
          </w:p>
        </w:tc>
        <w:tc>
          <w:tcPr>
            <w:tcW w:w="2154" w:type="dxa"/>
            <w:shd w:val="clear" w:color="auto" w:fill="auto"/>
          </w:tcPr>
          <w:p w14:paraId="1A36FAE2">
            <w:pPr>
              <w:pStyle w:val="14"/>
              <w:spacing w:before="195"/>
              <w:ind w:left="108"/>
              <w:rPr>
                <w:color w:val="auto"/>
                <w:sz w:val="28"/>
              </w:rPr>
            </w:pPr>
            <w:r>
              <w:rPr>
                <w:color w:val="auto"/>
                <w:sz w:val="28"/>
              </w:rPr>
              <w:t>北大青鸟</w:t>
            </w:r>
          </w:p>
        </w:tc>
        <w:tc>
          <w:tcPr>
            <w:tcW w:w="2777" w:type="dxa"/>
            <w:shd w:val="clear" w:color="auto" w:fill="auto"/>
          </w:tcPr>
          <w:p w14:paraId="1071143F">
            <w:pPr>
              <w:pStyle w:val="14"/>
              <w:rPr>
                <w:rFonts w:ascii="Times New Roman"/>
                <w:color w:val="auto"/>
                <w:sz w:val="28"/>
              </w:rPr>
            </w:pPr>
          </w:p>
        </w:tc>
      </w:tr>
      <w:tr w14:paraId="5F62C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20" w:type="dxa"/>
            <w:shd w:val="clear" w:color="auto" w:fill="auto"/>
          </w:tcPr>
          <w:p w14:paraId="1EA07B68">
            <w:pPr>
              <w:pStyle w:val="14"/>
              <w:spacing w:before="197"/>
              <w:ind w:left="351" w:right="339"/>
              <w:jc w:val="center"/>
              <w:rPr>
                <w:color w:val="auto"/>
                <w:sz w:val="28"/>
              </w:rPr>
            </w:pPr>
            <w:r>
              <w:rPr>
                <w:color w:val="auto"/>
                <w:sz w:val="28"/>
              </w:rPr>
              <w:t>12</w:t>
            </w:r>
          </w:p>
        </w:tc>
        <w:tc>
          <w:tcPr>
            <w:tcW w:w="3400" w:type="dxa"/>
            <w:shd w:val="clear" w:color="auto" w:fill="auto"/>
          </w:tcPr>
          <w:p w14:paraId="4F464489">
            <w:pPr>
              <w:pStyle w:val="14"/>
              <w:spacing w:before="197"/>
              <w:ind w:left="108"/>
              <w:rPr>
                <w:color w:val="auto"/>
                <w:sz w:val="28"/>
              </w:rPr>
            </w:pPr>
            <w:r>
              <w:rPr>
                <w:color w:val="auto"/>
                <w:sz w:val="28"/>
              </w:rPr>
              <w:t>消火栓按钮</w:t>
            </w:r>
          </w:p>
        </w:tc>
        <w:tc>
          <w:tcPr>
            <w:tcW w:w="2154" w:type="dxa"/>
            <w:shd w:val="clear" w:color="auto" w:fill="auto"/>
          </w:tcPr>
          <w:p w14:paraId="63E13441">
            <w:pPr>
              <w:pStyle w:val="14"/>
              <w:spacing w:before="197"/>
              <w:ind w:left="108"/>
              <w:rPr>
                <w:color w:val="auto"/>
                <w:sz w:val="28"/>
              </w:rPr>
            </w:pPr>
            <w:r>
              <w:rPr>
                <w:color w:val="auto"/>
                <w:sz w:val="28"/>
              </w:rPr>
              <w:t>北大青鸟</w:t>
            </w:r>
          </w:p>
        </w:tc>
        <w:tc>
          <w:tcPr>
            <w:tcW w:w="2777" w:type="dxa"/>
            <w:shd w:val="clear" w:color="auto" w:fill="auto"/>
          </w:tcPr>
          <w:p w14:paraId="56D3A587">
            <w:pPr>
              <w:pStyle w:val="14"/>
              <w:rPr>
                <w:rFonts w:ascii="Times New Roman"/>
                <w:color w:val="auto"/>
                <w:sz w:val="28"/>
              </w:rPr>
            </w:pPr>
          </w:p>
        </w:tc>
      </w:tr>
      <w:tr w14:paraId="1DE834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81605BC">
            <w:pPr>
              <w:pStyle w:val="14"/>
              <w:spacing w:before="195"/>
              <w:ind w:left="351" w:right="339"/>
              <w:jc w:val="center"/>
              <w:rPr>
                <w:color w:val="auto"/>
                <w:sz w:val="28"/>
              </w:rPr>
            </w:pPr>
            <w:r>
              <w:rPr>
                <w:color w:val="auto"/>
                <w:sz w:val="28"/>
              </w:rPr>
              <w:t>13</w:t>
            </w:r>
          </w:p>
        </w:tc>
        <w:tc>
          <w:tcPr>
            <w:tcW w:w="3400" w:type="dxa"/>
            <w:shd w:val="clear" w:color="auto" w:fill="auto"/>
          </w:tcPr>
          <w:p w14:paraId="725CBBEA">
            <w:pPr>
              <w:pStyle w:val="14"/>
              <w:spacing w:before="195"/>
              <w:ind w:left="108"/>
              <w:rPr>
                <w:color w:val="auto"/>
                <w:sz w:val="28"/>
              </w:rPr>
            </w:pPr>
            <w:r>
              <w:rPr>
                <w:color w:val="auto"/>
                <w:sz w:val="28"/>
              </w:rPr>
              <w:t>声光报警器</w:t>
            </w:r>
          </w:p>
        </w:tc>
        <w:tc>
          <w:tcPr>
            <w:tcW w:w="2154" w:type="dxa"/>
            <w:shd w:val="clear" w:color="auto" w:fill="auto"/>
          </w:tcPr>
          <w:p w14:paraId="5188E780">
            <w:pPr>
              <w:pStyle w:val="14"/>
              <w:spacing w:before="195"/>
              <w:ind w:left="108"/>
              <w:rPr>
                <w:color w:val="auto"/>
                <w:sz w:val="28"/>
              </w:rPr>
            </w:pPr>
            <w:r>
              <w:rPr>
                <w:color w:val="auto"/>
                <w:sz w:val="28"/>
              </w:rPr>
              <w:t>北大青鸟</w:t>
            </w:r>
          </w:p>
        </w:tc>
        <w:tc>
          <w:tcPr>
            <w:tcW w:w="2777" w:type="dxa"/>
            <w:shd w:val="clear" w:color="auto" w:fill="auto"/>
          </w:tcPr>
          <w:p w14:paraId="6D7F8E7A">
            <w:pPr>
              <w:pStyle w:val="14"/>
              <w:rPr>
                <w:rFonts w:ascii="Times New Roman"/>
                <w:color w:val="auto"/>
                <w:sz w:val="28"/>
              </w:rPr>
            </w:pPr>
          </w:p>
        </w:tc>
      </w:tr>
      <w:tr w14:paraId="0AECD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CAA8435">
            <w:pPr>
              <w:pStyle w:val="14"/>
              <w:spacing w:before="195"/>
              <w:ind w:left="351" w:right="339"/>
              <w:jc w:val="center"/>
              <w:rPr>
                <w:color w:val="auto"/>
                <w:sz w:val="28"/>
              </w:rPr>
            </w:pPr>
            <w:r>
              <w:rPr>
                <w:color w:val="auto"/>
                <w:sz w:val="28"/>
              </w:rPr>
              <w:t>14</w:t>
            </w:r>
          </w:p>
        </w:tc>
        <w:tc>
          <w:tcPr>
            <w:tcW w:w="3400" w:type="dxa"/>
            <w:shd w:val="clear" w:color="auto" w:fill="auto"/>
          </w:tcPr>
          <w:p w14:paraId="2658EFEE">
            <w:pPr>
              <w:pStyle w:val="14"/>
              <w:spacing w:before="195"/>
              <w:ind w:left="108"/>
              <w:rPr>
                <w:color w:val="auto"/>
                <w:sz w:val="28"/>
              </w:rPr>
            </w:pPr>
            <w:r>
              <w:rPr>
                <w:color w:val="auto"/>
                <w:sz w:val="28"/>
              </w:rPr>
              <w:t>紧急启动按钮</w:t>
            </w:r>
          </w:p>
        </w:tc>
        <w:tc>
          <w:tcPr>
            <w:tcW w:w="2154" w:type="dxa"/>
            <w:shd w:val="clear" w:color="auto" w:fill="auto"/>
          </w:tcPr>
          <w:p w14:paraId="4728080F">
            <w:pPr>
              <w:pStyle w:val="14"/>
              <w:spacing w:before="195"/>
              <w:ind w:left="108"/>
              <w:rPr>
                <w:color w:val="auto"/>
                <w:sz w:val="28"/>
              </w:rPr>
            </w:pPr>
            <w:r>
              <w:rPr>
                <w:color w:val="auto"/>
                <w:sz w:val="28"/>
              </w:rPr>
              <w:t>北大青鸟</w:t>
            </w:r>
          </w:p>
        </w:tc>
        <w:tc>
          <w:tcPr>
            <w:tcW w:w="2777" w:type="dxa"/>
            <w:shd w:val="clear" w:color="auto" w:fill="auto"/>
          </w:tcPr>
          <w:p w14:paraId="196E1EFB">
            <w:pPr>
              <w:pStyle w:val="14"/>
              <w:rPr>
                <w:rFonts w:ascii="Times New Roman"/>
                <w:color w:val="auto"/>
                <w:sz w:val="28"/>
              </w:rPr>
            </w:pPr>
          </w:p>
        </w:tc>
      </w:tr>
      <w:tr w14:paraId="49E76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0E265AF">
            <w:pPr>
              <w:pStyle w:val="14"/>
              <w:spacing w:before="195"/>
              <w:ind w:left="351" w:right="339"/>
              <w:jc w:val="center"/>
              <w:rPr>
                <w:color w:val="auto"/>
                <w:sz w:val="28"/>
              </w:rPr>
            </w:pPr>
            <w:r>
              <w:rPr>
                <w:color w:val="auto"/>
                <w:sz w:val="28"/>
              </w:rPr>
              <w:t>15</w:t>
            </w:r>
          </w:p>
        </w:tc>
        <w:tc>
          <w:tcPr>
            <w:tcW w:w="3400" w:type="dxa"/>
            <w:shd w:val="clear" w:color="auto" w:fill="auto"/>
          </w:tcPr>
          <w:p w14:paraId="7FB94BEC">
            <w:pPr>
              <w:pStyle w:val="14"/>
              <w:spacing w:before="195"/>
              <w:ind w:left="108"/>
              <w:rPr>
                <w:color w:val="auto"/>
                <w:sz w:val="28"/>
              </w:rPr>
            </w:pPr>
            <w:r>
              <w:rPr>
                <w:color w:val="auto"/>
                <w:sz w:val="28"/>
              </w:rPr>
              <w:t>小型继电器</w:t>
            </w:r>
          </w:p>
        </w:tc>
        <w:tc>
          <w:tcPr>
            <w:tcW w:w="2154" w:type="dxa"/>
            <w:shd w:val="clear" w:color="auto" w:fill="auto"/>
          </w:tcPr>
          <w:p w14:paraId="631CC46F">
            <w:pPr>
              <w:pStyle w:val="14"/>
              <w:spacing w:before="195"/>
              <w:ind w:left="108"/>
              <w:rPr>
                <w:color w:val="auto"/>
                <w:sz w:val="28"/>
              </w:rPr>
            </w:pPr>
            <w:r>
              <w:rPr>
                <w:color w:val="auto"/>
                <w:sz w:val="28"/>
              </w:rPr>
              <w:t>DC24V、AC220V</w:t>
            </w:r>
          </w:p>
        </w:tc>
        <w:tc>
          <w:tcPr>
            <w:tcW w:w="2777" w:type="dxa"/>
            <w:shd w:val="clear" w:color="auto" w:fill="auto"/>
          </w:tcPr>
          <w:p w14:paraId="5AA82F03">
            <w:pPr>
              <w:pStyle w:val="14"/>
              <w:rPr>
                <w:rFonts w:ascii="Times New Roman"/>
                <w:color w:val="auto"/>
                <w:sz w:val="28"/>
              </w:rPr>
            </w:pPr>
          </w:p>
        </w:tc>
      </w:tr>
      <w:tr w14:paraId="13ED6C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6FCAC21B">
            <w:pPr>
              <w:pStyle w:val="14"/>
              <w:spacing w:before="197"/>
              <w:ind w:left="351" w:right="339"/>
              <w:jc w:val="center"/>
              <w:rPr>
                <w:color w:val="auto"/>
                <w:sz w:val="28"/>
              </w:rPr>
            </w:pPr>
            <w:r>
              <w:rPr>
                <w:color w:val="auto"/>
                <w:sz w:val="28"/>
              </w:rPr>
              <w:t>16</w:t>
            </w:r>
          </w:p>
        </w:tc>
        <w:tc>
          <w:tcPr>
            <w:tcW w:w="3400" w:type="dxa"/>
            <w:shd w:val="clear" w:color="auto" w:fill="auto"/>
          </w:tcPr>
          <w:p w14:paraId="3354F287">
            <w:pPr>
              <w:pStyle w:val="14"/>
              <w:spacing w:before="197"/>
              <w:ind w:left="108"/>
              <w:rPr>
                <w:color w:val="auto"/>
                <w:sz w:val="28"/>
              </w:rPr>
            </w:pPr>
            <w:r>
              <w:rPr>
                <w:color w:val="auto"/>
                <w:sz w:val="28"/>
              </w:rPr>
              <w:t>气体释放报警灯</w:t>
            </w:r>
          </w:p>
        </w:tc>
        <w:tc>
          <w:tcPr>
            <w:tcW w:w="2154" w:type="dxa"/>
            <w:shd w:val="clear" w:color="auto" w:fill="auto"/>
          </w:tcPr>
          <w:p w14:paraId="5F5DF3F4">
            <w:pPr>
              <w:pStyle w:val="14"/>
              <w:spacing w:before="197"/>
              <w:ind w:left="108"/>
              <w:rPr>
                <w:color w:val="auto"/>
                <w:sz w:val="28"/>
              </w:rPr>
            </w:pPr>
            <w:r>
              <w:rPr>
                <w:color w:val="auto"/>
                <w:sz w:val="28"/>
              </w:rPr>
              <w:t>北大青鸟</w:t>
            </w:r>
          </w:p>
        </w:tc>
        <w:tc>
          <w:tcPr>
            <w:tcW w:w="2777" w:type="dxa"/>
            <w:shd w:val="clear" w:color="auto" w:fill="auto"/>
          </w:tcPr>
          <w:p w14:paraId="1F67AC39">
            <w:pPr>
              <w:pStyle w:val="14"/>
              <w:rPr>
                <w:rFonts w:ascii="Times New Roman"/>
                <w:color w:val="auto"/>
                <w:sz w:val="28"/>
              </w:rPr>
            </w:pPr>
          </w:p>
        </w:tc>
      </w:tr>
    </w:tbl>
    <w:p w14:paraId="68C0AB7C">
      <w:pPr>
        <w:snapToGrid w:val="0"/>
        <w:spacing w:before="240" w:after="240" w:line="520" w:lineRule="exact"/>
        <w:rPr>
          <w:rFonts w:ascii="仿宋" w:hAnsi="仿宋" w:eastAsia="仿宋" w:cs="宋体"/>
          <w:color w:val="auto"/>
          <w:sz w:val="30"/>
          <w:szCs w:val="30"/>
        </w:rPr>
      </w:pPr>
    </w:p>
    <w:p w14:paraId="24DFEC7B">
      <w:pPr>
        <w:widowControl/>
        <w:jc w:val="left"/>
        <w:rPr>
          <w:rFonts w:ascii="仿宋" w:hAnsi="仿宋" w:eastAsia="仿宋" w:cs="宋体"/>
          <w:color w:val="auto"/>
          <w:sz w:val="30"/>
          <w:szCs w:val="30"/>
        </w:rPr>
      </w:pPr>
      <w:r>
        <w:rPr>
          <w:rFonts w:ascii="仿宋" w:hAnsi="仿宋" w:eastAsia="仿宋" w:cs="宋体"/>
          <w:color w:val="auto"/>
          <w:sz w:val="30"/>
          <w:szCs w:val="30"/>
        </w:rPr>
        <w:br w:type="page"/>
      </w:r>
    </w:p>
    <w:p w14:paraId="112BCBB9">
      <w:pPr>
        <w:snapToGrid w:val="0"/>
        <w:spacing w:before="240" w:after="240" w:line="520" w:lineRule="exact"/>
        <w:rPr>
          <w:rFonts w:ascii="仿宋" w:hAnsi="仿宋" w:eastAsia="仿宋" w:cs="宋体"/>
          <w:color w:val="auto"/>
          <w:sz w:val="30"/>
          <w:szCs w:val="30"/>
        </w:rPr>
      </w:pPr>
      <w:r>
        <w:rPr>
          <w:rFonts w:hint="eastAsia" w:ascii="仿宋" w:hAnsi="仿宋" w:eastAsia="仿宋"/>
          <w:b/>
          <w:bCs/>
          <w:color w:val="auto"/>
          <w:sz w:val="30"/>
          <w:szCs w:val="30"/>
        </w:rPr>
        <w:t>附件五：</w:t>
      </w:r>
      <w:r>
        <w:rPr>
          <w:rFonts w:ascii="仿宋" w:hAnsi="仿宋" w:eastAsia="仿宋"/>
          <w:b/>
          <w:bCs/>
          <w:color w:val="auto"/>
          <w:sz w:val="30"/>
          <w:szCs w:val="30"/>
          <w:u w:val="single"/>
        </w:rPr>
        <w:t xml:space="preserve">  200  </w:t>
      </w:r>
      <w:r>
        <w:rPr>
          <w:rFonts w:hint="eastAsia" w:ascii="仿宋" w:hAnsi="仿宋" w:eastAsia="仿宋"/>
          <w:b/>
          <w:bCs/>
          <w:color w:val="auto"/>
          <w:sz w:val="30"/>
          <w:szCs w:val="30"/>
        </w:rPr>
        <w:t>元以上付费材料清单</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949"/>
        <w:gridCol w:w="1896"/>
        <w:gridCol w:w="1460"/>
        <w:gridCol w:w="725"/>
        <w:gridCol w:w="1797"/>
      </w:tblGrid>
      <w:tr w14:paraId="46EEC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shd w:val="clear" w:color="auto" w:fill="auto"/>
            <w:vAlign w:val="center"/>
          </w:tcPr>
          <w:p w14:paraId="392429B2">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序号</w:t>
            </w:r>
          </w:p>
        </w:tc>
        <w:tc>
          <w:tcPr>
            <w:tcW w:w="1150" w:type="pct"/>
            <w:shd w:val="clear" w:color="auto" w:fill="auto"/>
            <w:vAlign w:val="center"/>
          </w:tcPr>
          <w:p w14:paraId="6D079034">
            <w:pPr>
              <w:spacing w:line="520" w:lineRule="exact"/>
              <w:jc w:val="center"/>
              <w:rPr>
                <w:rFonts w:ascii="仿宋" w:hAnsi="仿宋" w:eastAsia="仿宋" w:cs="宋体"/>
                <w:color w:val="auto"/>
                <w:sz w:val="24"/>
                <w:szCs w:val="24"/>
              </w:rPr>
            </w:pPr>
            <w:r>
              <w:rPr>
                <w:rFonts w:hint="eastAsia" w:ascii="仿宋" w:hAnsi="仿宋" w:eastAsia="仿宋" w:cs="宋体"/>
                <w:color w:val="auto"/>
                <w:sz w:val="24"/>
                <w:szCs w:val="24"/>
              </w:rPr>
              <w:t>材料</w:t>
            </w:r>
            <w:r>
              <w:rPr>
                <w:rFonts w:ascii="仿宋" w:hAnsi="仿宋" w:eastAsia="仿宋" w:cs="宋体"/>
                <w:color w:val="auto"/>
                <w:sz w:val="24"/>
                <w:szCs w:val="24"/>
              </w:rPr>
              <w:t>名称</w:t>
            </w:r>
          </w:p>
        </w:tc>
        <w:tc>
          <w:tcPr>
            <w:tcW w:w="1079" w:type="pct"/>
            <w:shd w:val="clear" w:color="auto" w:fill="auto"/>
            <w:vAlign w:val="center"/>
          </w:tcPr>
          <w:p w14:paraId="77F7F861">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规格/型号</w:t>
            </w:r>
          </w:p>
        </w:tc>
        <w:tc>
          <w:tcPr>
            <w:tcW w:w="863" w:type="pct"/>
            <w:shd w:val="clear" w:color="auto" w:fill="auto"/>
            <w:vAlign w:val="center"/>
          </w:tcPr>
          <w:p w14:paraId="4C2F943F">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品牌</w:t>
            </w:r>
          </w:p>
        </w:tc>
        <w:tc>
          <w:tcPr>
            <w:tcW w:w="432" w:type="pct"/>
            <w:shd w:val="clear" w:color="auto" w:fill="auto"/>
            <w:vAlign w:val="center"/>
          </w:tcPr>
          <w:p w14:paraId="2FC073F4">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单位</w:t>
            </w:r>
          </w:p>
        </w:tc>
        <w:tc>
          <w:tcPr>
            <w:tcW w:w="1061" w:type="pct"/>
            <w:shd w:val="clear" w:color="auto" w:fill="auto"/>
            <w:vAlign w:val="center"/>
          </w:tcPr>
          <w:p w14:paraId="07FE434F">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含税单价</w:t>
            </w:r>
          </w:p>
          <w:p w14:paraId="6CE5D71F">
            <w:pPr>
              <w:spacing w:line="520" w:lineRule="exact"/>
              <w:jc w:val="center"/>
              <w:rPr>
                <w:rFonts w:ascii="仿宋" w:hAnsi="仿宋" w:eastAsia="仿宋" w:cs="宋体"/>
                <w:color w:val="auto"/>
                <w:sz w:val="24"/>
                <w:szCs w:val="24"/>
              </w:rPr>
            </w:pPr>
            <w:r>
              <w:rPr>
                <w:rFonts w:hint="eastAsia" w:ascii="仿宋" w:hAnsi="仿宋" w:eastAsia="仿宋" w:cs="宋体"/>
                <w:color w:val="auto"/>
                <w:sz w:val="24"/>
                <w:szCs w:val="24"/>
              </w:rPr>
              <w:t>（元）</w:t>
            </w:r>
          </w:p>
        </w:tc>
      </w:tr>
      <w:tr w14:paraId="7837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415" w:type="pct"/>
            <w:shd w:val="clear" w:color="auto" w:fill="auto"/>
            <w:vAlign w:val="center"/>
          </w:tcPr>
          <w:p w14:paraId="7CCDFAF6">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1</w:t>
            </w:r>
          </w:p>
        </w:tc>
        <w:tc>
          <w:tcPr>
            <w:tcW w:w="1150" w:type="pct"/>
            <w:shd w:val="clear" w:color="auto" w:fill="auto"/>
            <w:vAlign w:val="center"/>
          </w:tcPr>
          <w:p w14:paraId="12A0DC16">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多线盘手动控制器</w:t>
            </w:r>
          </w:p>
        </w:tc>
        <w:tc>
          <w:tcPr>
            <w:tcW w:w="1079" w:type="pct"/>
            <w:shd w:val="clear" w:color="auto" w:fill="auto"/>
            <w:vAlign w:val="center"/>
          </w:tcPr>
          <w:p w14:paraId="092557FD">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JBF-11S/CDB</w:t>
            </w:r>
          </w:p>
        </w:tc>
        <w:tc>
          <w:tcPr>
            <w:tcW w:w="863" w:type="pct"/>
            <w:shd w:val="clear" w:color="auto" w:fill="auto"/>
            <w:vAlign w:val="center"/>
          </w:tcPr>
          <w:p w14:paraId="0857E59B">
            <w:pPr>
              <w:spacing w:line="520" w:lineRule="exact"/>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0B1B4D64">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29A95FE9">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1413.00</w:t>
            </w:r>
          </w:p>
        </w:tc>
      </w:tr>
      <w:tr w14:paraId="17F6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415" w:type="pct"/>
            <w:shd w:val="clear" w:color="auto" w:fill="auto"/>
            <w:vAlign w:val="center"/>
          </w:tcPr>
          <w:p w14:paraId="06D29AE0">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2</w:t>
            </w:r>
          </w:p>
        </w:tc>
        <w:tc>
          <w:tcPr>
            <w:tcW w:w="1150" w:type="pct"/>
            <w:shd w:val="clear" w:color="auto" w:fill="auto"/>
            <w:vAlign w:val="center"/>
          </w:tcPr>
          <w:p w14:paraId="63476FC1">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总线控制盘</w:t>
            </w:r>
          </w:p>
        </w:tc>
        <w:tc>
          <w:tcPr>
            <w:tcW w:w="1079" w:type="pct"/>
            <w:shd w:val="clear" w:color="auto" w:fill="auto"/>
            <w:vAlign w:val="center"/>
          </w:tcPr>
          <w:p w14:paraId="31566080">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JBF-11S/CDB</w:t>
            </w:r>
          </w:p>
        </w:tc>
        <w:tc>
          <w:tcPr>
            <w:tcW w:w="863" w:type="pct"/>
            <w:shd w:val="clear" w:color="auto" w:fill="auto"/>
            <w:vAlign w:val="center"/>
          </w:tcPr>
          <w:p w14:paraId="262884C6">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79EC6BB1">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114F35CC">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608.00</w:t>
            </w:r>
          </w:p>
        </w:tc>
      </w:tr>
      <w:tr w14:paraId="54AE6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415" w:type="pct"/>
            <w:shd w:val="clear" w:color="auto" w:fill="auto"/>
            <w:vAlign w:val="center"/>
          </w:tcPr>
          <w:p w14:paraId="4B246A05">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3</w:t>
            </w:r>
          </w:p>
        </w:tc>
        <w:tc>
          <w:tcPr>
            <w:tcW w:w="1150" w:type="pct"/>
            <w:shd w:val="clear" w:color="auto" w:fill="auto"/>
            <w:vAlign w:val="center"/>
          </w:tcPr>
          <w:p w14:paraId="2EDC1A36">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备用电源</w:t>
            </w:r>
          </w:p>
        </w:tc>
        <w:tc>
          <w:tcPr>
            <w:tcW w:w="1079" w:type="pct"/>
            <w:shd w:val="clear" w:color="auto" w:fill="auto"/>
            <w:vAlign w:val="center"/>
          </w:tcPr>
          <w:p w14:paraId="4917D7CA">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JBF-11S/PA20</w:t>
            </w:r>
          </w:p>
        </w:tc>
        <w:tc>
          <w:tcPr>
            <w:tcW w:w="863" w:type="pct"/>
            <w:shd w:val="clear" w:color="auto" w:fill="auto"/>
            <w:vAlign w:val="center"/>
          </w:tcPr>
          <w:p w14:paraId="5152FA1E">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34D2208E">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67AD66A6">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2000.00</w:t>
            </w:r>
          </w:p>
        </w:tc>
      </w:tr>
      <w:tr w14:paraId="3A45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415" w:type="pct"/>
            <w:shd w:val="clear" w:color="auto" w:fill="auto"/>
            <w:vAlign w:val="center"/>
          </w:tcPr>
          <w:p w14:paraId="379E00F8">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4</w:t>
            </w:r>
          </w:p>
        </w:tc>
        <w:tc>
          <w:tcPr>
            <w:tcW w:w="1150" w:type="pct"/>
            <w:shd w:val="clear" w:color="auto" w:fill="auto"/>
            <w:vAlign w:val="center"/>
          </w:tcPr>
          <w:p w14:paraId="35AABF35">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中继模块</w:t>
            </w:r>
          </w:p>
        </w:tc>
        <w:tc>
          <w:tcPr>
            <w:tcW w:w="1079" w:type="pct"/>
            <w:shd w:val="clear" w:color="auto" w:fill="auto"/>
            <w:vAlign w:val="center"/>
          </w:tcPr>
          <w:p w14:paraId="54A10E4B">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DZ-952</w:t>
            </w:r>
          </w:p>
        </w:tc>
        <w:tc>
          <w:tcPr>
            <w:tcW w:w="863" w:type="pct"/>
            <w:shd w:val="clear" w:color="auto" w:fill="auto"/>
            <w:vAlign w:val="center"/>
          </w:tcPr>
          <w:p w14:paraId="49461E41">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408A84CE">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018AC140">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523.00</w:t>
            </w:r>
          </w:p>
        </w:tc>
      </w:tr>
      <w:tr w14:paraId="05CF1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415" w:type="pct"/>
            <w:shd w:val="clear" w:color="auto" w:fill="auto"/>
            <w:vAlign w:val="center"/>
          </w:tcPr>
          <w:p w14:paraId="4B9BAA06">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5</w:t>
            </w:r>
          </w:p>
        </w:tc>
        <w:tc>
          <w:tcPr>
            <w:tcW w:w="1150" w:type="pct"/>
            <w:shd w:val="clear" w:color="auto" w:fill="auto"/>
            <w:vAlign w:val="center"/>
          </w:tcPr>
          <w:p w14:paraId="3B3F7DB6">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气体灭火控制器</w:t>
            </w:r>
          </w:p>
        </w:tc>
        <w:tc>
          <w:tcPr>
            <w:tcW w:w="1079" w:type="pct"/>
            <w:shd w:val="clear" w:color="auto" w:fill="auto"/>
            <w:vAlign w:val="center"/>
          </w:tcPr>
          <w:p w14:paraId="533A695C">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JD-QB1-QM300/4</w:t>
            </w:r>
          </w:p>
        </w:tc>
        <w:tc>
          <w:tcPr>
            <w:tcW w:w="863" w:type="pct"/>
            <w:shd w:val="clear" w:color="auto" w:fill="auto"/>
            <w:vAlign w:val="center"/>
          </w:tcPr>
          <w:p w14:paraId="75F6FCC0">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1E5A3C75">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365EECED">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3360.00</w:t>
            </w:r>
          </w:p>
        </w:tc>
      </w:tr>
      <w:tr w14:paraId="76473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15" w:type="pct"/>
            <w:shd w:val="clear" w:color="auto" w:fill="auto"/>
            <w:vAlign w:val="center"/>
          </w:tcPr>
          <w:p w14:paraId="1A4F1FEF">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6</w:t>
            </w:r>
          </w:p>
        </w:tc>
        <w:tc>
          <w:tcPr>
            <w:tcW w:w="1150" w:type="pct"/>
            <w:shd w:val="clear" w:color="auto" w:fill="auto"/>
            <w:vAlign w:val="center"/>
          </w:tcPr>
          <w:p w14:paraId="5BE9CCF2">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气体释放警示牌</w:t>
            </w:r>
          </w:p>
        </w:tc>
        <w:tc>
          <w:tcPr>
            <w:tcW w:w="1079" w:type="pct"/>
            <w:shd w:val="clear" w:color="auto" w:fill="auto"/>
            <w:vAlign w:val="center"/>
          </w:tcPr>
          <w:p w14:paraId="1814736E">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QM-ZSD-01</w:t>
            </w:r>
          </w:p>
        </w:tc>
        <w:tc>
          <w:tcPr>
            <w:tcW w:w="863" w:type="pct"/>
            <w:shd w:val="clear" w:color="auto" w:fill="auto"/>
            <w:vAlign w:val="center"/>
          </w:tcPr>
          <w:p w14:paraId="0DE50B5C">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3E6AEEC3">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04E74F4E">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304.00</w:t>
            </w:r>
          </w:p>
        </w:tc>
      </w:tr>
      <w:tr w14:paraId="71CA8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415" w:type="pct"/>
            <w:shd w:val="clear" w:color="auto" w:fill="auto"/>
            <w:vAlign w:val="center"/>
          </w:tcPr>
          <w:p w14:paraId="4610C8F0">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7</w:t>
            </w:r>
          </w:p>
        </w:tc>
        <w:tc>
          <w:tcPr>
            <w:tcW w:w="1150" w:type="pct"/>
            <w:shd w:val="clear" w:color="auto" w:fill="auto"/>
            <w:vAlign w:val="center"/>
          </w:tcPr>
          <w:p w14:paraId="5F3733D1">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信号蝶阀</w:t>
            </w:r>
          </w:p>
        </w:tc>
        <w:tc>
          <w:tcPr>
            <w:tcW w:w="1079" w:type="pct"/>
            <w:shd w:val="clear" w:color="auto" w:fill="auto"/>
            <w:vAlign w:val="center"/>
          </w:tcPr>
          <w:p w14:paraId="7F15E726">
            <w:pPr>
              <w:spacing w:line="520" w:lineRule="exact"/>
              <w:jc w:val="center"/>
              <w:rPr>
                <w:rFonts w:ascii="仿宋" w:hAnsi="仿宋" w:eastAsia="仿宋" w:cs="宋体"/>
                <w:color w:val="auto"/>
                <w:sz w:val="24"/>
                <w:szCs w:val="24"/>
              </w:rPr>
            </w:pPr>
          </w:p>
        </w:tc>
        <w:tc>
          <w:tcPr>
            <w:tcW w:w="863" w:type="pct"/>
            <w:shd w:val="clear" w:color="auto" w:fill="auto"/>
            <w:vAlign w:val="center"/>
          </w:tcPr>
          <w:p w14:paraId="3632F9AC">
            <w:pPr>
              <w:jc w:val="center"/>
              <w:rPr>
                <w:rFonts w:ascii="仿宋" w:hAnsi="仿宋" w:eastAsia="仿宋" w:cs="宋体"/>
                <w:color w:val="auto"/>
                <w:sz w:val="24"/>
                <w:szCs w:val="24"/>
              </w:rPr>
            </w:pPr>
            <w:r>
              <w:rPr>
                <w:rFonts w:ascii="仿宋" w:hAnsi="仿宋" w:eastAsia="仿宋" w:cs="宋体"/>
                <w:color w:val="auto"/>
                <w:sz w:val="24"/>
                <w:szCs w:val="24"/>
              </w:rPr>
              <w:t>塘洁</w:t>
            </w:r>
            <w:r>
              <w:rPr>
                <w:rFonts w:hint="eastAsia" w:ascii="仿宋" w:hAnsi="仿宋" w:eastAsia="仿宋" w:cs="宋体"/>
                <w:color w:val="auto"/>
                <w:sz w:val="24"/>
                <w:szCs w:val="24"/>
              </w:rPr>
              <w:t>、</w:t>
            </w:r>
            <w:r>
              <w:rPr>
                <w:rFonts w:ascii="仿宋" w:hAnsi="仿宋" w:eastAsia="仿宋" w:cs="宋体"/>
                <w:color w:val="auto"/>
                <w:sz w:val="24"/>
                <w:szCs w:val="24"/>
              </w:rPr>
              <w:t>大战</w:t>
            </w:r>
          </w:p>
        </w:tc>
        <w:tc>
          <w:tcPr>
            <w:tcW w:w="432" w:type="pct"/>
            <w:shd w:val="clear" w:color="auto" w:fill="auto"/>
            <w:vAlign w:val="center"/>
          </w:tcPr>
          <w:p w14:paraId="1B480E82">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70BD0A7D">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980.00</w:t>
            </w:r>
          </w:p>
        </w:tc>
      </w:tr>
    </w:tbl>
    <w:p w14:paraId="7F127D45">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br w:type="page"/>
      </w:r>
    </w:p>
    <w:p w14:paraId="25E07444">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附件六：季度履约评价表</w:t>
      </w:r>
    </w:p>
    <w:p w14:paraId="1A1344F1">
      <w:pPr>
        <w:jc w:val="center"/>
        <w:rPr>
          <w:rFonts w:ascii="仿宋_GB2312" w:hAnsi="华文细黑" w:eastAsia="仿宋_GB2312"/>
          <w:b/>
          <w:color w:val="auto"/>
          <w:sz w:val="32"/>
        </w:rPr>
      </w:pPr>
      <w:r>
        <w:rPr>
          <w:rFonts w:hint="eastAsia" w:ascii="仿宋_GB2312" w:hAnsi="华文细黑" w:eastAsia="仿宋_GB2312"/>
          <w:b/>
          <w:color w:val="auto"/>
          <w:sz w:val="32"/>
        </w:rPr>
        <w:t>青年公寓/标准厂房项目消防系统维保履约评价表</w:t>
      </w:r>
    </w:p>
    <w:p w14:paraId="6496B7F5">
      <w:pPr>
        <w:rPr>
          <w:rFonts w:ascii="仿宋_GB2312" w:eastAsia="仿宋_GB2312"/>
          <w:color w:val="auto"/>
        </w:rPr>
      </w:pPr>
      <w:r>
        <w:rPr>
          <w:rFonts w:hint="eastAsia" w:ascii="仿宋_GB2312" w:eastAsia="仿宋_GB2312"/>
          <w:color w:val="auto"/>
        </w:rPr>
        <w:t xml:space="preserve">评价项目：                                                </w:t>
      </w:r>
      <w:r>
        <w:rPr>
          <w:rFonts w:hint="eastAsia" w:ascii="仿宋_GB2312" w:hAnsi="华文细黑" w:eastAsia="仿宋_GB2312"/>
          <w:color w:val="auto"/>
        </w:rPr>
        <w:t>专业分类：</w:t>
      </w:r>
    </w:p>
    <w:tbl>
      <w:tblPr>
        <w:tblStyle w:val="8"/>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65"/>
        <w:gridCol w:w="2840"/>
        <w:gridCol w:w="1151"/>
        <w:gridCol w:w="2120"/>
        <w:gridCol w:w="1418"/>
      </w:tblGrid>
      <w:tr w14:paraId="6E4B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652EA0CC">
            <w:pPr>
              <w:rPr>
                <w:rFonts w:ascii="仿宋_GB2312" w:hAnsi="华文细黑" w:eastAsia="仿宋_GB2312"/>
                <w:color w:val="auto"/>
                <w:u w:val="single"/>
              </w:rPr>
            </w:pPr>
            <w:r>
              <w:rPr>
                <w:rFonts w:hint="eastAsia" w:ascii="仿宋_GB2312" w:hAnsi="华文细黑" w:eastAsia="仿宋_GB2312"/>
                <w:color w:val="auto"/>
              </w:rPr>
              <w:t xml:space="preserve">供方名称：                                       </w:t>
            </w:r>
          </w:p>
        </w:tc>
      </w:tr>
      <w:tr w14:paraId="59C20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64B8CFE6">
            <w:pPr>
              <w:rPr>
                <w:rFonts w:ascii="仿宋_GB2312" w:hAnsi="华文细黑" w:eastAsia="仿宋_GB2312"/>
                <w:color w:val="auto"/>
              </w:rPr>
            </w:pPr>
            <w:r>
              <w:rPr>
                <w:rFonts w:hint="eastAsia" w:ascii="仿宋_GB2312" w:hAnsi="华文细黑" w:eastAsia="仿宋_GB2312"/>
                <w:color w:val="auto"/>
              </w:rPr>
              <w:t>评价类型：</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日常过程履约评价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单项履约评价</w:t>
            </w:r>
          </w:p>
        </w:tc>
      </w:tr>
      <w:tr w14:paraId="718E4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0DE2025F">
            <w:pPr>
              <w:rPr>
                <w:rFonts w:ascii="仿宋_GB2312" w:hAnsi="华文细黑" w:eastAsia="仿宋_GB2312"/>
                <w:color w:val="auto"/>
              </w:rPr>
            </w:pPr>
            <w:r>
              <w:rPr>
                <w:rFonts w:hint="eastAsia" w:ascii="仿宋_GB2312" w:hAnsi="华文细黑" w:eastAsia="仿宋_GB2312"/>
                <w:color w:val="auto"/>
              </w:rPr>
              <w:t>服务范围：</w:t>
            </w:r>
          </w:p>
        </w:tc>
      </w:tr>
      <w:tr w14:paraId="15122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6"/>
            <w:vAlign w:val="center"/>
          </w:tcPr>
          <w:p w14:paraId="0E4E6AAB">
            <w:pPr>
              <w:rPr>
                <w:rFonts w:ascii="仿宋_GB2312" w:hAnsi="华文细黑" w:eastAsia="仿宋_GB2312"/>
                <w:color w:val="auto"/>
              </w:rPr>
            </w:pPr>
            <w:r>
              <w:rPr>
                <w:rFonts w:hint="eastAsia" w:ascii="仿宋_GB2312" w:hAnsi="华文细黑" w:eastAsia="仿宋_GB2312"/>
                <w:color w:val="auto"/>
              </w:rPr>
              <w:t xml:space="preserve">服务周期：                                       </w:t>
            </w:r>
          </w:p>
        </w:tc>
      </w:tr>
      <w:tr w14:paraId="76DE3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4E642EB4">
            <w:pPr>
              <w:tabs>
                <w:tab w:val="left" w:pos="5067"/>
              </w:tabs>
              <w:rPr>
                <w:rFonts w:ascii="仿宋_GB2312" w:hAnsi="华文细黑" w:eastAsia="仿宋_GB2312"/>
                <w:color w:val="auto"/>
              </w:rPr>
            </w:pPr>
            <w:r>
              <w:rPr>
                <w:rFonts w:hint="eastAsia" w:ascii="仿宋_GB2312" w:hAnsi="华文细黑" w:eastAsia="仿宋_GB2312"/>
                <w:color w:val="auto"/>
              </w:rPr>
              <w:t>评价周期：</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月评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季评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半年评</w:t>
            </w:r>
          </w:p>
        </w:tc>
      </w:tr>
      <w:tr w14:paraId="6FF63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14:paraId="16763EC6">
            <w:pPr>
              <w:jc w:val="center"/>
              <w:rPr>
                <w:rFonts w:ascii="仿宋_GB2312" w:hAnsi="华文细黑" w:eastAsia="仿宋_GB2312"/>
                <w:color w:val="auto"/>
              </w:rPr>
            </w:pPr>
            <w:r>
              <w:rPr>
                <w:rFonts w:hint="eastAsia" w:ascii="仿宋_GB2312" w:hAnsi="华文细黑" w:eastAsia="仿宋_GB2312"/>
                <w:color w:val="auto"/>
              </w:rPr>
              <w:t>履约评价维度</w:t>
            </w:r>
          </w:p>
        </w:tc>
        <w:tc>
          <w:tcPr>
            <w:tcW w:w="2840" w:type="dxa"/>
            <w:vAlign w:val="center"/>
          </w:tcPr>
          <w:p w14:paraId="7792F563">
            <w:pPr>
              <w:jc w:val="center"/>
              <w:rPr>
                <w:rFonts w:ascii="仿宋_GB2312" w:hAnsi="华文细黑" w:eastAsia="仿宋_GB2312"/>
                <w:color w:val="auto"/>
              </w:rPr>
            </w:pPr>
            <w:r>
              <w:rPr>
                <w:rFonts w:hint="eastAsia" w:ascii="仿宋_GB2312" w:hAnsi="华文细黑" w:eastAsia="仿宋_GB2312"/>
                <w:color w:val="auto"/>
              </w:rPr>
              <w:t>分项指标</w:t>
            </w:r>
          </w:p>
        </w:tc>
        <w:tc>
          <w:tcPr>
            <w:tcW w:w="3271" w:type="dxa"/>
            <w:gridSpan w:val="2"/>
            <w:vAlign w:val="center"/>
          </w:tcPr>
          <w:p w14:paraId="46759252">
            <w:pPr>
              <w:jc w:val="center"/>
              <w:rPr>
                <w:rFonts w:ascii="仿宋_GB2312" w:hAnsi="华文细黑" w:eastAsia="仿宋_GB2312"/>
                <w:color w:val="auto"/>
              </w:rPr>
            </w:pPr>
            <w:r>
              <w:rPr>
                <w:rFonts w:hint="eastAsia" w:ascii="仿宋_GB2312" w:hAnsi="华文细黑" w:eastAsia="仿宋_GB2312"/>
                <w:color w:val="auto"/>
              </w:rPr>
              <w:t>评分标准</w:t>
            </w:r>
          </w:p>
        </w:tc>
        <w:tc>
          <w:tcPr>
            <w:tcW w:w="1418" w:type="dxa"/>
            <w:vAlign w:val="center"/>
          </w:tcPr>
          <w:p w14:paraId="4BCA6C97">
            <w:pPr>
              <w:jc w:val="center"/>
              <w:rPr>
                <w:rFonts w:ascii="仿宋_GB2312" w:hAnsi="华文细黑" w:eastAsia="仿宋_GB2312"/>
                <w:color w:val="auto"/>
              </w:rPr>
            </w:pPr>
            <w:r>
              <w:rPr>
                <w:rFonts w:hint="eastAsia" w:ascii="仿宋_GB2312" w:hAnsi="华文细黑" w:eastAsia="仿宋_GB2312"/>
                <w:color w:val="auto"/>
              </w:rPr>
              <w:t>扣分</w:t>
            </w:r>
          </w:p>
        </w:tc>
      </w:tr>
      <w:tr w14:paraId="14D6D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restart"/>
            <w:vAlign w:val="center"/>
          </w:tcPr>
          <w:p w14:paraId="7CC1F361">
            <w:pPr>
              <w:widowControl/>
              <w:jc w:val="center"/>
              <w:rPr>
                <w:rFonts w:ascii="仿宋_GB2312" w:hAnsi="华文细黑" w:eastAsia="仿宋_GB2312"/>
                <w:color w:val="auto"/>
              </w:rPr>
            </w:pPr>
            <w:r>
              <w:rPr>
                <w:rFonts w:hint="eastAsia" w:ascii="仿宋_GB2312" w:hAnsi="华文细黑" w:eastAsia="仿宋_GB2312"/>
                <w:color w:val="auto"/>
              </w:rPr>
              <w:t>责任部门-合同</w:t>
            </w:r>
          </w:p>
          <w:p w14:paraId="593BA9F9">
            <w:pPr>
              <w:jc w:val="center"/>
              <w:rPr>
                <w:rFonts w:ascii="仿宋_GB2312" w:hAnsi="华文细黑" w:eastAsia="仿宋_GB2312"/>
                <w:color w:val="auto"/>
              </w:rPr>
            </w:pPr>
            <w:r>
              <w:rPr>
                <w:rFonts w:hint="eastAsia" w:ascii="仿宋_GB2312" w:hAnsi="华文细黑" w:eastAsia="仿宋_GB2312"/>
                <w:color w:val="auto"/>
              </w:rPr>
              <w:t>履行情况</w:t>
            </w:r>
          </w:p>
        </w:tc>
        <w:tc>
          <w:tcPr>
            <w:tcW w:w="1365" w:type="dxa"/>
            <w:vMerge w:val="restart"/>
            <w:vAlign w:val="center"/>
          </w:tcPr>
          <w:p w14:paraId="49DEDD69">
            <w:pPr>
              <w:jc w:val="center"/>
              <w:rPr>
                <w:rFonts w:ascii="仿宋_GB2312" w:hAnsi="华文细黑" w:eastAsia="仿宋_GB2312"/>
                <w:color w:val="auto"/>
                <w:szCs w:val="21"/>
              </w:rPr>
            </w:pPr>
            <w:r>
              <w:rPr>
                <w:rFonts w:hint="eastAsia" w:ascii="仿宋_GB2312" w:hAnsi="华文细黑" w:eastAsia="仿宋_GB2312" w:cs="仿宋"/>
                <w:color w:val="auto"/>
                <w:kern w:val="0"/>
                <w:szCs w:val="21"/>
              </w:rPr>
              <w:t>品质水平</w:t>
            </w:r>
          </w:p>
        </w:tc>
        <w:tc>
          <w:tcPr>
            <w:tcW w:w="2840" w:type="dxa"/>
            <w:vAlign w:val="center"/>
          </w:tcPr>
          <w:p w14:paraId="6A21FFAD">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服务标准/验收标准产品质量评估符合性情况</w:t>
            </w:r>
          </w:p>
        </w:tc>
        <w:tc>
          <w:tcPr>
            <w:tcW w:w="3271" w:type="dxa"/>
            <w:gridSpan w:val="2"/>
            <w:vAlign w:val="center"/>
          </w:tcPr>
          <w:p w14:paraId="4D606006">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每发现１处不合格，扣2分</w:t>
            </w:r>
          </w:p>
        </w:tc>
        <w:tc>
          <w:tcPr>
            <w:tcW w:w="1418" w:type="dxa"/>
            <w:vAlign w:val="center"/>
          </w:tcPr>
          <w:p w14:paraId="3F1DFF10">
            <w:pPr>
              <w:autoSpaceDE w:val="0"/>
              <w:autoSpaceDN w:val="0"/>
              <w:adjustRightInd w:val="0"/>
              <w:rPr>
                <w:rFonts w:ascii="仿宋_GB2312" w:hAnsi="华文细黑" w:eastAsia="仿宋_GB2312" w:cs="仿宋"/>
                <w:color w:val="auto"/>
                <w:sz w:val="24"/>
                <w:szCs w:val="24"/>
              </w:rPr>
            </w:pPr>
          </w:p>
        </w:tc>
      </w:tr>
      <w:tr w14:paraId="7F224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652A8953">
            <w:pPr>
              <w:widowControl/>
              <w:jc w:val="center"/>
              <w:rPr>
                <w:rFonts w:ascii="仿宋_GB2312" w:hAnsi="华文细黑" w:eastAsia="仿宋_GB2312"/>
                <w:color w:val="auto"/>
              </w:rPr>
            </w:pPr>
          </w:p>
        </w:tc>
        <w:tc>
          <w:tcPr>
            <w:tcW w:w="1365" w:type="dxa"/>
            <w:vMerge w:val="continue"/>
            <w:vAlign w:val="center"/>
          </w:tcPr>
          <w:p w14:paraId="24714060">
            <w:pPr>
              <w:jc w:val="center"/>
              <w:rPr>
                <w:rFonts w:ascii="仿宋_GB2312" w:hAnsi="华文细黑" w:eastAsia="仿宋_GB2312" w:cs="仿宋"/>
                <w:color w:val="auto"/>
                <w:kern w:val="0"/>
                <w:szCs w:val="21"/>
              </w:rPr>
            </w:pPr>
          </w:p>
        </w:tc>
        <w:tc>
          <w:tcPr>
            <w:tcW w:w="2840" w:type="dxa"/>
            <w:vAlign w:val="center"/>
          </w:tcPr>
          <w:p w14:paraId="5B1F7527">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违约行为</w:t>
            </w:r>
          </w:p>
        </w:tc>
        <w:tc>
          <w:tcPr>
            <w:tcW w:w="3271" w:type="dxa"/>
            <w:gridSpan w:val="2"/>
            <w:vAlign w:val="center"/>
          </w:tcPr>
          <w:p w14:paraId="78C56381">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每发现１处违约行为，扣5分</w:t>
            </w:r>
          </w:p>
        </w:tc>
        <w:tc>
          <w:tcPr>
            <w:tcW w:w="1418" w:type="dxa"/>
            <w:vAlign w:val="center"/>
          </w:tcPr>
          <w:p w14:paraId="4C00009D">
            <w:pPr>
              <w:autoSpaceDE w:val="0"/>
              <w:autoSpaceDN w:val="0"/>
              <w:adjustRightInd w:val="0"/>
              <w:rPr>
                <w:rFonts w:ascii="仿宋_GB2312" w:hAnsi="华文细黑" w:eastAsia="仿宋_GB2312" w:cs="仿宋"/>
                <w:color w:val="auto"/>
                <w:sz w:val="24"/>
                <w:szCs w:val="24"/>
              </w:rPr>
            </w:pPr>
          </w:p>
        </w:tc>
      </w:tr>
      <w:tr w14:paraId="008E1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72C429D7">
            <w:pPr>
              <w:widowControl/>
              <w:jc w:val="center"/>
              <w:rPr>
                <w:rFonts w:ascii="仿宋_GB2312" w:hAnsi="华文细黑" w:eastAsia="仿宋_GB2312"/>
                <w:color w:val="auto"/>
              </w:rPr>
            </w:pPr>
          </w:p>
        </w:tc>
        <w:tc>
          <w:tcPr>
            <w:tcW w:w="1365" w:type="dxa"/>
            <w:vMerge w:val="restart"/>
            <w:vAlign w:val="center"/>
          </w:tcPr>
          <w:p w14:paraId="462228C8">
            <w:pPr>
              <w:jc w:val="center"/>
              <w:rPr>
                <w:rFonts w:ascii="仿宋_GB2312" w:hAnsi="华文细黑" w:eastAsia="仿宋_GB2312"/>
                <w:color w:val="auto"/>
                <w:szCs w:val="21"/>
              </w:rPr>
            </w:pPr>
            <w:r>
              <w:rPr>
                <w:rFonts w:hint="eastAsia" w:ascii="仿宋_GB2312" w:hAnsi="华文细黑" w:eastAsia="仿宋_GB2312" w:cs="仿宋"/>
                <w:color w:val="auto"/>
                <w:kern w:val="0"/>
                <w:szCs w:val="21"/>
              </w:rPr>
              <w:t>专业能力</w:t>
            </w:r>
          </w:p>
        </w:tc>
        <w:tc>
          <w:tcPr>
            <w:tcW w:w="2840" w:type="dxa"/>
            <w:vAlign w:val="center"/>
          </w:tcPr>
          <w:p w14:paraId="01AC560A">
            <w:pPr>
              <w:jc w:val="left"/>
              <w:rPr>
                <w:rFonts w:ascii="仿宋_GB2312" w:hAnsi="华文细黑" w:eastAsia="仿宋_GB2312"/>
                <w:color w:val="auto"/>
                <w:szCs w:val="21"/>
              </w:rPr>
            </w:pPr>
            <w:r>
              <w:rPr>
                <w:rFonts w:hint="eastAsia" w:ascii="仿宋_GB2312" w:hAnsi="华文细黑" w:eastAsia="仿宋_GB2312" w:cs="仿宋"/>
                <w:color w:val="auto"/>
              </w:rPr>
              <w:t>驻场负责人/对接人员工作计划完成情况</w:t>
            </w:r>
          </w:p>
        </w:tc>
        <w:tc>
          <w:tcPr>
            <w:tcW w:w="3271" w:type="dxa"/>
            <w:gridSpan w:val="2"/>
            <w:vAlign w:val="center"/>
          </w:tcPr>
          <w:p w14:paraId="5BBCD381">
            <w:pPr>
              <w:jc w:val="left"/>
              <w:rPr>
                <w:rFonts w:ascii="仿宋_GB2312" w:hAnsi="华文细黑" w:eastAsia="仿宋_GB2312"/>
                <w:color w:val="auto"/>
                <w:szCs w:val="21"/>
              </w:rPr>
            </w:pPr>
            <w:r>
              <w:rPr>
                <w:rFonts w:hint="eastAsia" w:ascii="仿宋_GB2312" w:hAnsi="华文细黑" w:eastAsia="仿宋_GB2312"/>
                <w:color w:val="auto"/>
                <w:szCs w:val="21"/>
              </w:rPr>
              <w:t>未完成计划项，每１项扣5分</w:t>
            </w:r>
          </w:p>
        </w:tc>
        <w:tc>
          <w:tcPr>
            <w:tcW w:w="1418" w:type="dxa"/>
            <w:vAlign w:val="center"/>
          </w:tcPr>
          <w:p w14:paraId="0469A814">
            <w:pPr>
              <w:jc w:val="center"/>
              <w:rPr>
                <w:rFonts w:ascii="仿宋_GB2312" w:hAnsi="华文细黑" w:eastAsia="仿宋_GB2312"/>
                <w:color w:val="auto"/>
              </w:rPr>
            </w:pPr>
          </w:p>
        </w:tc>
      </w:tr>
      <w:tr w14:paraId="362CA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D473CDA">
            <w:pPr>
              <w:widowControl/>
              <w:jc w:val="center"/>
              <w:rPr>
                <w:rFonts w:ascii="仿宋_GB2312" w:hAnsi="华文细黑" w:eastAsia="仿宋_GB2312"/>
                <w:color w:val="auto"/>
              </w:rPr>
            </w:pPr>
          </w:p>
        </w:tc>
        <w:tc>
          <w:tcPr>
            <w:tcW w:w="1365" w:type="dxa"/>
            <w:vMerge w:val="continue"/>
            <w:vAlign w:val="center"/>
          </w:tcPr>
          <w:p w14:paraId="7CDFC8FA">
            <w:pPr>
              <w:jc w:val="center"/>
              <w:rPr>
                <w:rFonts w:ascii="仿宋_GB2312" w:hAnsi="华文细黑" w:eastAsia="仿宋_GB2312" w:cs="仿宋"/>
                <w:color w:val="auto"/>
                <w:kern w:val="0"/>
                <w:szCs w:val="21"/>
              </w:rPr>
            </w:pPr>
          </w:p>
        </w:tc>
        <w:tc>
          <w:tcPr>
            <w:tcW w:w="2840" w:type="dxa"/>
            <w:vAlign w:val="center"/>
          </w:tcPr>
          <w:p w14:paraId="270ED066">
            <w:pPr>
              <w:jc w:val="left"/>
              <w:rPr>
                <w:rFonts w:ascii="仿宋_GB2312" w:hAnsi="华文细黑" w:eastAsia="仿宋_GB2312" w:cs="仿宋"/>
                <w:color w:val="auto"/>
                <w:kern w:val="0"/>
                <w:szCs w:val="21"/>
              </w:rPr>
            </w:pPr>
            <w:r>
              <w:rPr>
                <w:rFonts w:hint="eastAsia" w:ascii="仿宋_GB2312" w:hAnsi="华文细黑" w:eastAsia="仿宋_GB2312" w:cs="仿宋"/>
                <w:color w:val="auto"/>
              </w:rPr>
              <w:t>操作人员素质及能力是否符合要求</w:t>
            </w:r>
          </w:p>
        </w:tc>
        <w:tc>
          <w:tcPr>
            <w:tcW w:w="3271" w:type="dxa"/>
            <w:gridSpan w:val="2"/>
            <w:vAlign w:val="center"/>
          </w:tcPr>
          <w:p w14:paraId="1673320A">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每发现1次不达标，扣2分</w:t>
            </w:r>
          </w:p>
        </w:tc>
        <w:tc>
          <w:tcPr>
            <w:tcW w:w="1418" w:type="dxa"/>
            <w:vAlign w:val="center"/>
          </w:tcPr>
          <w:p w14:paraId="5FD43DFA">
            <w:pPr>
              <w:jc w:val="center"/>
              <w:rPr>
                <w:rFonts w:ascii="仿宋_GB2312" w:hAnsi="华文细黑" w:eastAsia="仿宋_GB2312"/>
                <w:color w:val="auto"/>
              </w:rPr>
            </w:pPr>
          </w:p>
        </w:tc>
      </w:tr>
      <w:tr w14:paraId="21E6A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8AFB4B4">
            <w:pPr>
              <w:widowControl/>
              <w:jc w:val="center"/>
              <w:rPr>
                <w:rFonts w:ascii="仿宋_GB2312" w:hAnsi="华文细黑" w:eastAsia="仿宋_GB2312"/>
                <w:color w:val="auto"/>
              </w:rPr>
            </w:pPr>
          </w:p>
        </w:tc>
        <w:tc>
          <w:tcPr>
            <w:tcW w:w="1365" w:type="dxa"/>
            <w:vMerge w:val="continue"/>
            <w:vAlign w:val="center"/>
          </w:tcPr>
          <w:p w14:paraId="0767A04D">
            <w:pPr>
              <w:jc w:val="center"/>
              <w:rPr>
                <w:rFonts w:ascii="仿宋_GB2312" w:hAnsi="华文细黑" w:eastAsia="仿宋_GB2312" w:cs="仿宋"/>
                <w:color w:val="auto"/>
                <w:kern w:val="0"/>
                <w:szCs w:val="21"/>
              </w:rPr>
            </w:pPr>
          </w:p>
        </w:tc>
        <w:tc>
          <w:tcPr>
            <w:tcW w:w="2840" w:type="dxa"/>
            <w:vAlign w:val="center"/>
          </w:tcPr>
          <w:p w14:paraId="797FCB19">
            <w:pPr>
              <w:jc w:val="left"/>
              <w:rPr>
                <w:rFonts w:ascii="仿宋_GB2312" w:hAnsi="华文细黑" w:eastAsia="仿宋_GB2312" w:cs="仿宋"/>
                <w:color w:val="auto"/>
                <w:kern w:val="0"/>
                <w:szCs w:val="21"/>
              </w:rPr>
            </w:pPr>
            <w:r>
              <w:rPr>
                <w:rFonts w:hint="eastAsia" w:ascii="仿宋_GB2312" w:hAnsi="华文细黑" w:eastAsia="仿宋_GB2312" w:cs="仿宋"/>
                <w:color w:val="auto"/>
              </w:rPr>
              <w:t>辅助设备/工具使用是否符合现场情况</w:t>
            </w:r>
          </w:p>
        </w:tc>
        <w:tc>
          <w:tcPr>
            <w:tcW w:w="3271" w:type="dxa"/>
            <w:gridSpan w:val="2"/>
            <w:vAlign w:val="center"/>
          </w:tcPr>
          <w:p w14:paraId="423B6955">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每发现1次不达标，扣1分</w:t>
            </w:r>
          </w:p>
        </w:tc>
        <w:tc>
          <w:tcPr>
            <w:tcW w:w="1418" w:type="dxa"/>
            <w:vAlign w:val="center"/>
          </w:tcPr>
          <w:p w14:paraId="040BFC0F">
            <w:pPr>
              <w:jc w:val="center"/>
              <w:rPr>
                <w:rFonts w:ascii="仿宋_GB2312" w:hAnsi="华文细黑" w:eastAsia="仿宋_GB2312"/>
                <w:color w:val="auto"/>
              </w:rPr>
            </w:pPr>
          </w:p>
        </w:tc>
      </w:tr>
      <w:tr w14:paraId="0C232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0842D23C">
            <w:pPr>
              <w:widowControl/>
              <w:jc w:val="center"/>
              <w:rPr>
                <w:rFonts w:ascii="仿宋_GB2312" w:hAnsi="华文细黑" w:eastAsia="仿宋_GB2312"/>
                <w:color w:val="auto"/>
              </w:rPr>
            </w:pPr>
          </w:p>
        </w:tc>
        <w:tc>
          <w:tcPr>
            <w:tcW w:w="1365" w:type="dxa"/>
            <w:vMerge w:val="continue"/>
            <w:vAlign w:val="center"/>
          </w:tcPr>
          <w:p w14:paraId="54FD31EE">
            <w:pPr>
              <w:jc w:val="center"/>
              <w:rPr>
                <w:rFonts w:ascii="仿宋_GB2312" w:hAnsi="华文细黑" w:eastAsia="仿宋_GB2312" w:cs="仿宋"/>
                <w:color w:val="auto"/>
                <w:kern w:val="0"/>
                <w:szCs w:val="21"/>
              </w:rPr>
            </w:pPr>
          </w:p>
        </w:tc>
        <w:tc>
          <w:tcPr>
            <w:tcW w:w="2840" w:type="dxa"/>
            <w:vAlign w:val="center"/>
          </w:tcPr>
          <w:p w14:paraId="65B1F027">
            <w:pPr>
              <w:jc w:val="left"/>
              <w:rPr>
                <w:rFonts w:ascii="仿宋_GB2312" w:hAnsi="华文细黑" w:eastAsia="仿宋_GB2312" w:cs="仿宋"/>
                <w:color w:val="auto"/>
              </w:rPr>
            </w:pPr>
            <w:r>
              <w:rPr>
                <w:rFonts w:hint="eastAsia" w:ascii="仿宋_GB2312" w:hAnsi="华文细黑" w:eastAsia="仿宋_GB2312" w:cs="仿宋"/>
                <w:color w:val="auto"/>
              </w:rPr>
              <w:t>技术问题的反应能力是否符合现场情况</w:t>
            </w:r>
          </w:p>
        </w:tc>
        <w:tc>
          <w:tcPr>
            <w:tcW w:w="3271" w:type="dxa"/>
            <w:gridSpan w:val="2"/>
            <w:vAlign w:val="center"/>
          </w:tcPr>
          <w:p w14:paraId="03736497">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每发现1处不达标，扣5分</w:t>
            </w:r>
          </w:p>
        </w:tc>
        <w:tc>
          <w:tcPr>
            <w:tcW w:w="1418" w:type="dxa"/>
            <w:vAlign w:val="center"/>
          </w:tcPr>
          <w:p w14:paraId="4FA7D2B4">
            <w:pPr>
              <w:jc w:val="center"/>
              <w:rPr>
                <w:rFonts w:ascii="仿宋_GB2312" w:hAnsi="华文细黑" w:eastAsia="仿宋_GB2312"/>
                <w:color w:val="auto"/>
              </w:rPr>
            </w:pPr>
          </w:p>
        </w:tc>
      </w:tr>
      <w:tr w14:paraId="78FB5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35" w:type="dxa"/>
            <w:vMerge w:val="continue"/>
            <w:vAlign w:val="center"/>
          </w:tcPr>
          <w:p w14:paraId="2CDE8C19">
            <w:pPr>
              <w:widowControl/>
              <w:jc w:val="center"/>
              <w:rPr>
                <w:rFonts w:ascii="仿宋_GB2312" w:hAnsi="华文细黑" w:eastAsia="仿宋_GB2312"/>
                <w:color w:val="auto"/>
              </w:rPr>
            </w:pPr>
          </w:p>
        </w:tc>
        <w:tc>
          <w:tcPr>
            <w:tcW w:w="1365" w:type="dxa"/>
            <w:vMerge w:val="continue"/>
            <w:vAlign w:val="center"/>
          </w:tcPr>
          <w:p w14:paraId="613F0EE4">
            <w:pPr>
              <w:jc w:val="center"/>
              <w:rPr>
                <w:rFonts w:ascii="仿宋_GB2312" w:hAnsi="华文细黑" w:eastAsia="仿宋_GB2312" w:cs="仿宋"/>
                <w:color w:val="auto"/>
                <w:kern w:val="0"/>
                <w:szCs w:val="21"/>
              </w:rPr>
            </w:pPr>
          </w:p>
        </w:tc>
        <w:tc>
          <w:tcPr>
            <w:tcW w:w="2840" w:type="dxa"/>
            <w:vAlign w:val="center"/>
          </w:tcPr>
          <w:p w14:paraId="2F2BC29F">
            <w:pPr>
              <w:jc w:val="left"/>
              <w:rPr>
                <w:rFonts w:ascii="仿宋_GB2312" w:hAnsi="华文细黑" w:eastAsia="仿宋_GB2312" w:cs="仿宋"/>
                <w:color w:val="auto"/>
              </w:rPr>
            </w:pPr>
            <w:r>
              <w:rPr>
                <w:rFonts w:hint="eastAsia" w:ascii="仿宋_GB2312" w:hAnsi="华文细黑" w:eastAsia="仿宋_GB2312" w:cs="仿宋"/>
                <w:color w:val="auto"/>
              </w:rPr>
              <w:t>工艺技术的先进性是否满足现场使用需求</w:t>
            </w:r>
          </w:p>
        </w:tc>
        <w:tc>
          <w:tcPr>
            <w:tcW w:w="3271" w:type="dxa"/>
            <w:gridSpan w:val="2"/>
            <w:vAlign w:val="center"/>
          </w:tcPr>
          <w:p w14:paraId="122F09EC">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每发现1处不达标，扣2分</w:t>
            </w:r>
          </w:p>
        </w:tc>
        <w:tc>
          <w:tcPr>
            <w:tcW w:w="1418" w:type="dxa"/>
            <w:vAlign w:val="center"/>
          </w:tcPr>
          <w:p w14:paraId="49B4DD48">
            <w:pPr>
              <w:jc w:val="center"/>
              <w:rPr>
                <w:rFonts w:ascii="仿宋_GB2312" w:hAnsi="华文细黑" w:eastAsia="仿宋_GB2312"/>
                <w:color w:val="auto"/>
              </w:rPr>
            </w:pPr>
          </w:p>
        </w:tc>
      </w:tr>
      <w:tr w14:paraId="0ED72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3279086B">
            <w:pPr>
              <w:widowControl/>
              <w:jc w:val="center"/>
              <w:rPr>
                <w:rFonts w:ascii="仿宋_GB2312" w:hAnsi="华文细黑" w:eastAsia="仿宋_GB2312"/>
                <w:color w:val="auto"/>
              </w:rPr>
            </w:pPr>
          </w:p>
        </w:tc>
        <w:tc>
          <w:tcPr>
            <w:tcW w:w="1365" w:type="dxa"/>
            <w:vMerge w:val="restart"/>
            <w:vAlign w:val="center"/>
          </w:tcPr>
          <w:p w14:paraId="6E7321C9">
            <w:pPr>
              <w:jc w:val="center"/>
              <w:rPr>
                <w:rFonts w:ascii="仿宋_GB2312" w:hAnsi="华文细黑" w:eastAsia="仿宋_GB2312"/>
                <w:color w:val="auto"/>
                <w:szCs w:val="21"/>
              </w:rPr>
            </w:pPr>
            <w:r>
              <w:rPr>
                <w:rFonts w:hint="eastAsia" w:ascii="仿宋_GB2312" w:hAnsi="华文细黑" w:eastAsia="仿宋_GB2312" w:cs="仿宋"/>
                <w:color w:val="auto"/>
                <w:kern w:val="0"/>
                <w:szCs w:val="21"/>
              </w:rPr>
              <w:t>管理能力</w:t>
            </w:r>
          </w:p>
        </w:tc>
        <w:tc>
          <w:tcPr>
            <w:tcW w:w="2840" w:type="dxa"/>
            <w:vAlign w:val="center"/>
          </w:tcPr>
          <w:p w14:paraId="457703B8">
            <w:pPr>
              <w:jc w:val="left"/>
              <w:rPr>
                <w:rFonts w:ascii="仿宋_GB2312" w:hAnsi="华文细黑" w:eastAsia="仿宋_GB2312"/>
                <w:color w:val="auto"/>
                <w:szCs w:val="21"/>
              </w:rPr>
            </w:pPr>
            <w:r>
              <w:rPr>
                <w:rFonts w:hint="eastAsia" w:ascii="仿宋_GB2312" w:hAnsi="华文细黑" w:eastAsia="仿宋_GB2312" w:cs="仿宋"/>
                <w:color w:val="auto"/>
              </w:rPr>
              <w:t>驻场人员出勤情况</w:t>
            </w:r>
          </w:p>
        </w:tc>
        <w:tc>
          <w:tcPr>
            <w:tcW w:w="3271" w:type="dxa"/>
            <w:gridSpan w:val="2"/>
            <w:vAlign w:val="center"/>
          </w:tcPr>
          <w:p w14:paraId="3186EF59">
            <w:pPr>
              <w:jc w:val="left"/>
              <w:rPr>
                <w:rFonts w:ascii="仿宋_GB2312" w:hAnsi="华文细黑" w:eastAsia="仿宋_GB2312"/>
                <w:color w:val="auto"/>
                <w:szCs w:val="21"/>
              </w:rPr>
            </w:pPr>
            <w:r>
              <w:rPr>
                <w:rFonts w:hint="eastAsia" w:ascii="仿宋_GB2312" w:hAnsi="华文细黑" w:eastAsia="仿宋_GB2312"/>
                <w:color w:val="auto"/>
                <w:szCs w:val="21"/>
              </w:rPr>
              <w:t>每缺勤或迟到一名，扣2分</w:t>
            </w:r>
          </w:p>
        </w:tc>
        <w:tc>
          <w:tcPr>
            <w:tcW w:w="1418" w:type="dxa"/>
            <w:vAlign w:val="center"/>
          </w:tcPr>
          <w:p w14:paraId="35B2C6DC">
            <w:pPr>
              <w:jc w:val="center"/>
              <w:rPr>
                <w:rFonts w:ascii="仿宋_GB2312" w:hAnsi="华文细黑" w:eastAsia="仿宋_GB2312"/>
                <w:color w:val="auto"/>
              </w:rPr>
            </w:pPr>
          </w:p>
        </w:tc>
      </w:tr>
      <w:tr w14:paraId="61A27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10A3A54C">
            <w:pPr>
              <w:widowControl/>
              <w:jc w:val="center"/>
              <w:rPr>
                <w:rFonts w:ascii="仿宋_GB2312" w:hAnsi="华文细黑" w:eastAsia="仿宋_GB2312"/>
                <w:color w:val="auto"/>
              </w:rPr>
            </w:pPr>
          </w:p>
        </w:tc>
        <w:tc>
          <w:tcPr>
            <w:tcW w:w="1365" w:type="dxa"/>
            <w:vMerge w:val="continue"/>
            <w:vAlign w:val="center"/>
          </w:tcPr>
          <w:p w14:paraId="08F22721">
            <w:pPr>
              <w:jc w:val="center"/>
              <w:rPr>
                <w:rFonts w:ascii="仿宋_GB2312" w:hAnsi="华文细黑" w:eastAsia="仿宋_GB2312" w:cs="仿宋"/>
                <w:color w:val="auto"/>
                <w:kern w:val="0"/>
                <w:szCs w:val="21"/>
              </w:rPr>
            </w:pPr>
          </w:p>
        </w:tc>
        <w:tc>
          <w:tcPr>
            <w:tcW w:w="2840" w:type="dxa"/>
            <w:vAlign w:val="center"/>
          </w:tcPr>
          <w:p w14:paraId="398D1A23">
            <w:pPr>
              <w:jc w:val="left"/>
              <w:rPr>
                <w:rFonts w:ascii="仿宋_GB2312" w:hAnsi="华文细黑" w:eastAsia="仿宋_GB2312" w:cs="仿宋"/>
                <w:color w:val="auto"/>
                <w:kern w:val="0"/>
                <w:szCs w:val="21"/>
              </w:rPr>
            </w:pPr>
            <w:r>
              <w:rPr>
                <w:rFonts w:hint="eastAsia" w:ascii="仿宋_GB2312" w:hAnsi="华文细黑" w:eastAsia="仿宋_GB2312" w:cs="仿宋"/>
                <w:color w:val="auto"/>
              </w:rPr>
              <w:t>安全生产管理措施是否到位</w:t>
            </w:r>
          </w:p>
        </w:tc>
        <w:tc>
          <w:tcPr>
            <w:tcW w:w="3271" w:type="dxa"/>
            <w:gridSpan w:val="2"/>
            <w:vAlign w:val="center"/>
          </w:tcPr>
          <w:p w14:paraId="19572449">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每发生1次安全隐患，扣5分</w:t>
            </w:r>
          </w:p>
        </w:tc>
        <w:tc>
          <w:tcPr>
            <w:tcW w:w="1418" w:type="dxa"/>
            <w:vAlign w:val="center"/>
          </w:tcPr>
          <w:p w14:paraId="1B9B654B">
            <w:pPr>
              <w:jc w:val="center"/>
              <w:rPr>
                <w:rFonts w:ascii="仿宋_GB2312" w:hAnsi="华文细黑" w:eastAsia="仿宋_GB2312"/>
                <w:color w:val="auto"/>
              </w:rPr>
            </w:pPr>
          </w:p>
        </w:tc>
      </w:tr>
      <w:tr w14:paraId="33BD9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5C40816C">
            <w:pPr>
              <w:widowControl/>
              <w:jc w:val="center"/>
              <w:rPr>
                <w:rFonts w:ascii="仿宋_GB2312" w:hAnsi="华文细黑" w:eastAsia="仿宋_GB2312"/>
                <w:color w:val="auto"/>
              </w:rPr>
            </w:pPr>
          </w:p>
        </w:tc>
        <w:tc>
          <w:tcPr>
            <w:tcW w:w="1365" w:type="dxa"/>
            <w:vMerge w:val="continue"/>
            <w:vAlign w:val="center"/>
          </w:tcPr>
          <w:p w14:paraId="12BAE742">
            <w:pPr>
              <w:jc w:val="center"/>
              <w:rPr>
                <w:rFonts w:ascii="仿宋_GB2312" w:hAnsi="华文细黑" w:eastAsia="仿宋_GB2312" w:cs="仿宋"/>
                <w:color w:val="auto"/>
                <w:kern w:val="0"/>
                <w:szCs w:val="21"/>
              </w:rPr>
            </w:pPr>
          </w:p>
        </w:tc>
        <w:tc>
          <w:tcPr>
            <w:tcW w:w="2840" w:type="dxa"/>
            <w:vAlign w:val="center"/>
          </w:tcPr>
          <w:p w14:paraId="367A2A2E">
            <w:pPr>
              <w:jc w:val="left"/>
              <w:rPr>
                <w:rFonts w:ascii="仿宋_GB2312" w:hAnsi="华文细黑" w:eastAsia="仿宋_GB2312" w:cs="仿宋"/>
                <w:color w:val="auto"/>
              </w:rPr>
            </w:pPr>
            <w:r>
              <w:rPr>
                <w:rFonts w:hint="eastAsia" w:ascii="仿宋_GB2312" w:hAnsi="华文细黑" w:eastAsia="仿宋_GB2312" w:cs="仿宋"/>
                <w:color w:val="auto"/>
              </w:rPr>
              <w:t>客户投诉</w:t>
            </w:r>
          </w:p>
        </w:tc>
        <w:tc>
          <w:tcPr>
            <w:tcW w:w="3271" w:type="dxa"/>
            <w:gridSpan w:val="2"/>
            <w:vAlign w:val="center"/>
          </w:tcPr>
          <w:p w14:paraId="3351B540">
            <w:pPr>
              <w:jc w:val="left"/>
              <w:rPr>
                <w:rFonts w:ascii="仿宋_GB2312" w:hAnsi="华文细黑" w:eastAsia="仿宋_GB2312" w:cs="仿宋"/>
                <w:color w:val="auto"/>
              </w:rPr>
            </w:pPr>
            <w:r>
              <w:rPr>
                <w:rFonts w:hint="eastAsia" w:ascii="仿宋_GB2312" w:hAnsi="华文细黑" w:eastAsia="仿宋_GB2312" w:cs="仿宋"/>
                <w:color w:val="auto"/>
              </w:rPr>
              <w:t>每发生1起有效投诉，扣5分</w:t>
            </w:r>
          </w:p>
        </w:tc>
        <w:tc>
          <w:tcPr>
            <w:tcW w:w="1418" w:type="dxa"/>
            <w:vAlign w:val="center"/>
          </w:tcPr>
          <w:p w14:paraId="4B6E5969">
            <w:pPr>
              <w:jc w:val="center"/>
              <w:rPr>
                <w:rFonts w:ascii="仿宋_GB2312" w:hAnsi="华文细黑" w:eastAsia="仿宋_GB2312"/>
                <w:color w:val="auto"/>
              </w:rPr>
            </w:pPr>
          </w:p>
        </w:tc>
      </w:tr>
      <w:tr w14:paraId="7D89B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735" w:type="dxa"/>
            <w:vMerge w:val="continue"/>
            <w:vAlign w:val="center"/>
          </w:tcPr>
          <w:p w14:paraId="1B7B2B57">
            <w:pPr>
              <w:widowControl/>
              <w:jc w:val="center"/>
              <w:rPr>
                <w:rFonts w:ascii="仿宋_GB2312" w:hAnsi="华文细黑" w:eastAsia="仿宋_GB2312"/>
                <w:color w:val="auto"/>
              </w:rPr>
            </w:pPr>
          </w:p>
        </w:tc>
        <w:tc>
          <w:tcPr>
            <w:tcW w:w="1365" w:type="dxa"/>
            <w:vMerge w:val="continue"/>
            <w:vAlign w:val="center"/>
          </w:tcPr>
          <w:p w14:paraId="5E33D209">
            <w:pPr>
              <w:jc w:val="center"/>
              <w:rPr>
                <w:rFonts w:ascii="仿宋_GB2312" w:hAnsi="华文细黑" w:eastAsia="仿宋_GB2312" w:cs="仿宋"/>
                <w:color w:val="auto"/>
                <w:kern w:val="0"/>
                <w:szCs w:val="21"/>
              </w:rPr>
            </w:pPr>
          </w:p>
        </w:tc>
        <w:tc>
          <w:tcPr>
            <w:tcW w:w="2840" w:type="dxa"/>
            <w:vAlign w:val="center"/>
          </w:tcPr>
          <w:p w14:paraId="49C7B235">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发生重大质量事件、安全事故</w:t>
            </w:r>
          </w:p>
        </w:tc>
        <w:tc>
          <w:tcPr>
            <w:tcW w:w="3271" w:type="dxa"/>
            <w:gridSpan w:val="2"/>
            <w:vAlign w:val="center"/>
          </w:tcPr>
          <w:p w14:paraId="71ED7E0D">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每发生1起重大质量事件、安全生产事故，扣10分</w:t>
            </w:r>
          </w:p>
        </w:tc>
        <w:tc>
          <w:tcPr>
            <w:tcW w:w="1418" w:type="dxa"/>
            <w:vAlign w:val="center"/>
          </w:tcPr>
          <w:p w14:paraId="16E73650">
            <w:pPr>
              <w:jc w:val="center"/>
              <w:rPr>
                <w:rFonts w:ascii="仿宋_GB2312" w:hAnsi="华文细黑" w:eastAsia="仿宋_GB2312"/>
                <w:color w:val="auto"/>
              </w:rPr>
            </w:pPr>
          </w:p>
        </w:tc>
      </w:tr>
      <w:tr w14:paraId="4A7E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2CF03E9">
            <w:pPr>
              <w:widowControl/>
              <w:jc w:val="center"/>
              <w:rPr>
                <w:rFonts w:ascii="仿宋_GB2312" w:hAnsi="华文细黑" w:eastAsia="仿宋_GB2312"/>
                <w:color w:val="auto"/>
              </w:rPr>
            </w:pPr>
          </w:p>
        </w:tc>
        <w:tc>
          <w:tcPr>
            <w:tcW w:w="1365" w:type="dxa"/>
            <w:vMerge w:val="restart"/>
            <w:vAlign w:val="center"/>
          </w:tcPr>
          <w:p w14:paraId="49C3CD3F">
            <w:pPr>
              <w:jc w:val="center"/>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安全生产</w:t>
            </w:r>
          </w:p>
        </w:tc>
        <w:tc>
          <w:tcPr>
            <w:tcW w:w="2840" w:type="dxa"/>
            <w:vAlign w:val="center"/>
          </w:tcPr>
          <w:p w14:paraId="0B6ADCA5">
            <w:pPr>
              <w:autoSpaceDE w:val="0"/>
              <w:autoSpaceDN w:val="0"/>
              <w:adjustRightInd w:val="0"/>
              <w:spacing w:line="276" w:lineRule="auto"/>
              <w:rPr>
                <w:rFonts w:ascii="仿宋_GB2312" w:hAnsi="华文细黑" w:eastAsia="仿宋_GB2312" w:cs="仿宋"/>
                <w:color w:val="auto"/>
                <w:sz w:val="24"/>
                <w:szCs w:val="21"/>
              </w:rPr>
            </w:pPr>
            <w:r>
              <w:rPr>
                <w:rFonts w:hint="eastAsia" w:ascii="仿宋_GB2312" w:hAnsi="华文细黑" w:eastAsia="仿宋_GB2312" w:cs="仿宋"/>
                <w:color w:val="auto"/>
                <w:sz w:val="22"/>
                <w:szCs w:val="24"/>
              </w:rPr>
              <w:t>安全生产管理措施是否到位</w:t>
            </w:r>
          </w:p>
        </w:tc>
        <w:tc>
          <w:tcPr>
            <w:tcW w:w="3271" w:type="dxa"/>
            <w:gridSpan w:val="2"/>
            <w:vAlign w:val="center"/>
          </w:tcPr>
          <w:p w14:paraId="18E82BEA">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 w:val="22"/>
                <w:szCs w:val="21"/>
              </w:rPr>
              <w:t>每发生</w:t>
            </w:r>
            <w:r>
              <w:rPr>
                <w:rFonts w:ascii="仿宋_GB2312" w:hAnsi="华文细黑" w:eastAsia="仿宋_GB2312" w:cs="仿宋"/>
                <w:color w:val="auto"/>
                <w:sz w:val="22"/>
                <w:szCs w:val="21"/>
              </w:rPr>
              <w:t>1次安全隐患，扣</w:t>
            </w:r>
            <w:r>
              <w:rPr>
                <w:rFonts w:hint="eastAsia" w:ascii="仿宋_GB2312" w:hAnsi="华文细黑" w:eastAsia="仿宋_GB2312" w:cs="仿宋"/>
                <w:color w:val="auto"/>
                <w:sz w:val="22"/>
                <w:szCs w:val="21"/>
              </w:rPr>
              <w:t>2</w:t>
            </w:r>
            <w:r>
              <w:rPr>
                <w:rFonts w:ascii="仿宋_GB2312" w:hAnsi="华文细黑" w:eastAsia="仿宋_GB2312" w:cs="仿宋"/>
                <w:color w:val="auto"/>
                <w:sz w:val="22"/>
                <w:szCs w:val="21"/>
              </w:rPr>
              <w:t>分</w:t>
            </w:r>
          </w:p>
        </w:tc>
        <w:tc>
          <w:tcPr>
            <w:tcW w:w="1418" w:type="dxa"/>
            <w:vAlign w:val="center"/>
          </w:tcPr>
          <w:p w14:paraId="254DEDA8">
            <w:pPr>
              <w:jc w:val="center"/>
              <w:rPr>
                <w:rFonts w:ascii="仿宋_GB2312" w:hAnsi="华文细黑" w:eastAsia="仿宋_GB2312"/>
                <w:color w:val="auto"/>
              </w:rPr>
            </w:pPr>
          </w:p>
        </w:tc>
      </w:tr>
      <w:tr w14:paraId="18125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7DC713D">
            <w:pPr>
              <w:widowControl/>
              <w:jc w:val="center"/>
              <w:rPr>
                <w:rFonts w:ascii="仿宋_GB2312" w:hAnsi="华文细黑" w:eastAsia="仿宋_GB2312"/>
                <w:color w:val="auto"/>
              </w:rPr>
            </w:pPr>
          </w:p>
        </w:tc>
        <w:tc>
          <w:tcPr>
            <w:tcW w:w="1365" w:type="dxa"/>
            <w:vMerge w:val="continue"/>
            <w:vAlign w:val="center"/>
          </w:tcPr>
          <w:p w14:paraId="278EBCE5">
            <w:pPr>
              <w:jc w:val="center"/>
              <w:rPr>
                <w:rFonts w:ascii="仿宋_GB2312" w:hAnsi="华文细黑" w:eastAsia="仿宋_GB2312" w:cs="仿宋"/>
                <w:color w:val="auto"/>
                <w:kern w:val="0"/>
                <w:szCs w:val="21"/>
              </w:rPr>
            </w:pPr>
          </w:p>
        </w:tc>
        <w:tc>
          <w:tcPr>
            <w:tcW w:w="2840" w:type="dxa"/>
            <w:vAlign w:val="center"/>
          </w:tcPr>
          <w:p w14:paraId="6DBB782B">
            <w:pPr>
              <w:autoSpaceDE w:val="0"/>
              <w:autoSpaceDN w:val="0"/>
              <w:adjustRightInd w:val="0"/>
              <w:spacing w:line="276" w:lineRule="auto"/>
              <w:rPr>
                <w:rFonts w:ascii="仿宋_GB2312" w:hAnsi="华文细黑" w:eastAsia="仿宋_GB2312" w:cs="仿宋"/>
                <w:color w:val="auto"/>
                <w:sz w:val="24"/>
                <w:szCs w:val="21"/>
              </w:rPr>
            </w:pPr>
            <w:r>
              <w:rPr>
                <w:rFonts w:hint="eastAsia" w:ascii="仿宋_GB2312" w:hAnsi="华文细黑" w:eastAsia="仿宋_GB2312" w:cs="仿宋"/>
                <w:color w:val="auto"/>
                <w:sz w:val="22"/>
                <w:szCs w:val="24"/>
              </w:rPr>
              <w:t>发生重大质量事件、安全事故</w:t>
            </w:r>
          </w:p>
        </w:tc>
        <w:tc>
          <w:tcPr>
            <w:tcW w:w="3271" w:type="dxa"/>
            <w:gridSpan w:val="2"/>
            <w:vAlign w:val="center"/>
          </w:tcPr>
          <w:p w14:paraId="01BB1F5A">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 w:val="22"/>
                <w:szCs w:val="24"/>
              </w:rPr>
              <w:t>每发生1起重大质量事件、安全生产事故，扣10分</w:t>
            </w:r>
          </w:p>
        </w:tc>
        <w:tc>
          <w:tcPr>
            <w:tcW w:w="1418" w:type="dxa"/>
            <w:vAlign w:val="center"/>
          </w:tcPr>
          <w:p w14:paraId="731C08B3">
            <w:pPr>
              <w:jc w:val="center"/>
              <w:rPr>
                <w:rFonts w:ascii="仿宋_GB2312" w:hAnsi="华文细黑" w:eastAsia="仿宋_GB2312"/>
                <w:color w:val="auto"/>
              </w:rPr>
            </w:pPr>
          </w:p>
        </w:tc>
      </w:tr>
      <w:tr w14:paraId="559F5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7DC6E718">
            <w:pPr>
              <w:widowControl/>
              <w:jc w:val="center"/>
              <w:rPr>
                <w:rFonts w:ascii="仿宋_GB2312" w:hAnsi="华文细黑" w:eastAsia="仿宋_GB2312"/>
                <w:color w:val="auto"/>
              </w:rPr>
            </w:pPr>
          </w:p>
        </w:tc>
        <w:tc>
          <w:tcPr>
            <w:tcW w:w="1365" w:type="dxa"/>
            <w:vMerge w:val="restart"/>
            <w:vAlign w:val="center"/>
          </w:tcPr>
          <w:p w14:paraId="3182DC04">
            <w:pPr>
              <w:jc w:val="center"/>
              <w:rPr>
                <w:rFonts w:ascii="仿宋_GB2312" w:hAnsi="华文细黑" w:eastAsia="仿宋_GB2312" w:cs="仿宋"/>
                <w:color w:val="auto"/>
                <w:szCs w:val="21"/>
              </w:rPr>
            </w:pPr>
            <w:r>
              <w:rPr>
                <w:rFonts w:hint="eastAsia" w:ascii="仿宋_GB2312" w:hAnsi="华文细黑" w:eastAsia="仿宋_GB2312" w:cs="仿宋"/>
                <w:color w:val="auto"/>
                <w:szCs w:val="21"/>
              </w:rPr>
              <w:t>协作</w:t>
            </w:r>
            <w:r>
              <w:rPr>
                <w:rFonts w:hint="eastAsia" w:ascii="仿宋_GB2312" w:hAnsi="华文细黑" w:eastAsia="仿宋_GB2312" w:cs="仿宋"/>
                <w:color w:val="auto"/>
                <w:kern w:val="0"/>
                <w:szCs w:val="21"/>
              </w:rPr>
              <w:t>配合</w:t>
            </w:r>
          </w:p>
        </w:tc>
        <w:tc>
          <w:tcPr>
            <w:tcW w:w="2840" w:type="dxa"/>
            <w:vAlign w:val="center"/>
          </w:tcPr>
          <w:p w14:paraId="49AD8384">
            <w:pPr>
              <w:jc w:val="left"/>
              <w:rPr>
                <w:rFonts w:ascii="仿宋_GB2312" w:hAnsi="华文细黑" w:eastAsia="仿宋_GB2312"/>
                <w:color w:val="auto"/>
                <w:szCs w:val="21"/>
              </w:rPr>
            </w:pPr>
            <w:r>
              <w:rPr>
                <w:rFonts w:hint="eastAsia" w:ascii="仿宋_GB2312" w:hAnsi="华文细黑" w:eastAsia="仿宋_GB2312" w:cs="仿宋"/>
                <w:color w:val="auto"/>
                <w:szCs w:val="21"/>
              </w:rPr>
              <w:t>响应速度/服务及时性</w:t>
            </w:r>
          </w:p>
        </w:tc>
        <w:tc>
          <w:tcPr>
            <w:tcW w:w="3271" w:type="dxa"/>
            <w:gridSpan w:val="2"/>
            <w:vAlign w:val="center"/>
          </w:tcPr>
          <w:p w14:paraId="5F8B4821">
            <w:pPr>
              <w:jc w:val="left"/>
              <w:rPr>
                <w:rFonts w:ascii="仿宋_GB2312" w:hAnsi="华文细黑" w:eastAsia="仿宋_GB2312"/>
                <w:color w:val="auto"/>
                <w:szCs w:val="21"/>
              </w:rPr>
            </w:pPr>
            <w:r>
              <w:rPr>
                <w:rFonts w:hint="eastAsia" w:ascii="仿宋_GB2312" w:hAnsi="华文细黑" w:eastAsia="仿宋_GB2312"/>
                <w:color w:val="auto"/>
                <w:szCs w:val="21"/>
              </w:rPr>
              <w:t>每发生１次延误，扣3分</w:t>
            </w:r>
          </w:p>
        </w:tc>
        <w:tc>
          <w:tcPr>
            <w:tcW w:w="1418" w:type="dxa"/>
            <w:vAlign w:val="center"/>
          </w:tcPr>
          <w:p w14:paraId="0CE25F9C">
            <w:pPr>
              <w:jc w:val="center"/>
              <w:rPr>
                <w:rFonts w:ascii="仿宋_GB2312" w:hAnsi="华文细黑" w:eastAsia="仿宋_GB2312"/>
                <w:color w:val="auto"/>
              </w:rPr>
            </w:pPr>
          </w:p>
        </w:tc>
      </w:tr>
      <w:tr w14:paraId="2168A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6711EBC">
            <w:pPr>
              <w:widowControl/>
              <w:jc w:val="center"/>
              <w:rPr>
                <w:rFonts w:ascii="仿宋_GB2312" w:hAnsi="华文细黑" w:eastAsia="仿宋_GB2312"/>
                <w:color w:val="auto"/>
              </w:rPr>
            </w:pPr>
          </w:p>
        </w:tc>
        <w:tc>
          <w:tcPr>
            <w:tcW w:w="1365" w:type="dxa"/>
            <w:vMerge w:val="continue"/>
            <w:vAlign w:val="center"/>
          </w:tcPr>
          <w:p w14:paraId="4533DD8E">
            <w:pPr>
              <w:jc w:val="center"/>
              <w:rPr>
                <w:rFonts w:ascii="仿宋_GB2312" w:hAnsi="华文细黑" w:eastAsia="仿宋_GB2312" w:cs="仿宋"/>
                <w:color w:val="auto"/>
              </w:rPr>
            </w:pPr>
          </w:p>
        </w:tc>
        <w:tc>
          <w:tcPr>
            <w:tcW w:w="2840" w:type="dxa"/>
            <w:vAlign w:val="center"/>
          </w:tcPr>
          <w:p w14:paraId="4C8B4DFC">
            <w:pPr>
              <w:jc w:val="left"/>
              <w:rPr>
                <w:rFonts w:ascii="仿宋_GB2312" w:hAnsi="华文细黑" w:eastAsia="仿宋_GB2312"/>
                <w:color w:val="auto"/>
              </w:rPr>
            </w:pPr>
            <w:r>
              <w:rPr>
                <w:rFonts w:hint="eastAsia" w:ascii="仿宋_GB2312" w:hAnsi="华文细黑" w:eastAsia="仿宋_GB2312" w:cs="仿宋"/>
                <w:color w:val="auto"/>
                <w:szCs w:val="21"/>
              </w:rPr>
              <w:t>服务文件归档</w:t>
            </w:r>
          </w:p>
        </w:tc>
        <w:tc>
          <w:tcPr>
            <w:tcW w:w="3271" w:type="dxa"/>
            <w:gridSpan w:val="2"/>
            <w:vAlign w:val="center"/>
          </w:tcPr>
          <w:p w14:paraId="001BCC47">
            <w:pPr>
              <w:jc w:val="left"/>
              <w:rPr>
                <w:rFonts w:ascii="仿宋_GB2312" w:hAnsi="华文细黑" w:eastAsia="仿宋_GB2312"/>
                <w:color w:val="auto"/>
              </w:rPr>
            </w:pPr>
            <w:r>
              <w:rPr>
                <w:rFonts w:hint="eastAsia" w:ascii="仿宋_GB2312" w:hAnsi="华文细黑" w:eastAsia="仿宋_GB2312"/>
                <w:color w:val="auto"/>
              </w:rPr>
              <w:t>每发现１次文件记录有误，扣2分</w:t>
            </w:r>
          </w:p>
        </w:tc>
        <w:tc>
          <w:tcPr>
            <w:tcW w:w="1418" w:type="dxa"/>
            <w:vAlign w:val="center"/>
          </w:tcPr>
          <w:p w14:paraId="7940CEDC">
            <w:pPr>
              <w:jc w:val="center"/>
              <w:rPr>
                <w:rFonts w:ascii="仿宋_GB2312" w:hAnsi="华文细黑" w:eastAsia="仿宋_GB2312"/>
                <w:color w:val="auto"/>
              </w:rPr>
            </w:pPr>
          </w:p>
        </w:tc>
      </w:tr>
      <w:tr w14:paraId="6254C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35" w:type="dxa"/>
            <w:vMerge w:val="continue"/>
            <w:vAlign w:val="center"/>
          </w:tcPr>
          <w:p w14:paraId="69BFD980">
            <w:pPr>
              <w:widowControl/>
              <w:jc w:val="center"/>
              <w:rPr>
                <w:rFonts w:ascii="仿宋_GB2312" w:hAnsi="华文细黑" w:eastAsia="仿宋_GB2312"/>
                <w:color w:val="auto"/>
              </w:rPr>
            </w:pPr>
          </w:p>
        </w:tc>
        <w:tc>
          <w:tcPr>
            <w:tcW w:w="1365" w:type="dxa"/>
            <w:vAlign w:val="center"/>
          </w:tcPr>
          <w:p w14:paraId="31B87812">
            <w:pPr>
              <w:jc w:val="center"/>
              <w:rPr>
                <w:rFonts w:ascii="仿宋_GB2312" w:hAnsi="华文细黑" w:eastAsia="仿宋_GB2312" w:cs="仿宋"/>
                <w:color w:val="auto"/>
              </w:rPr>
            </w:pPr>
            <w:r>
              <w:rPr>
                <w:rFonts w:hint="eastAsia" w:ascii="仿宋_GB2312" w:hAnsi="华文细黑" w:eastAsia="仿宋_GB2312" w:cs="仿宋"/>
                <w:color w:val="auto"/>
              </w:rPr>
              <w:t>综合得分</w:t>
            </w:r>
          </w:p>
        </w:tc>
        <w:tc>
          <w:tcPr>
            <w:tcW w:w="6111" w:type="dxa"/>
            <w:gridSpan w:val="3"/>
            <w:vAlign w:val="center"/>
          </w:tcPr>
          <w:p w14:paraId="4A38CB62">
            <w:pPr>
              <w:jc w:val="right"/>
              <w:rPr>
                <w:rFonts w:ascii="仿宋_GB2312" w:hAnsi="华文细黑" w:eastAsia="仿宋_GB2312"/>
                <w:color w:val="auto"/>
              </w:rPr>
            </w:pPr>
            <w:r>
              <w:rPr>
                <w:rFonts w:hint="eastAsia" w:ascii="仿宋_GB2312" w:hAnsi="华文细黑" w:eastAsia="仿宋_GB2312"/>
                <w:color w:val="auto"/>
              </w:rPr>
              <w:t>合计扣分</w:t>
            </w:r>
          </w:p>
        </w:tc>
        <w:tc>
          <w:tcPr>
            <w:tcW w:w="1418" w:type="dxa"/>
            <w:vAlign w:val="center"/>
          </w:tcPr>
          <w:p w14:paraId="730D582F">
            <w:pPr>
              <w:jc w:val="center"/>
              <w:rPr>
                <w:rFonts w:ascii="仿宋_GB2312" w:hAnsi="华文细黑" w:eastAsia="仿宋_GB2312"/>
                <w:color w:val="auto"/>
              </w:rPr>
            </w:pPr>
          </w:p>
        </w:tc>
      </w:tr>
      <w:tr w14:paraId="002BB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14:paraId="2E260398">
            <w:pPr>
              <w:widowControl/>
              <w:jc w:val="center"/>
              <w:rPr>
                <w:rFonts w:ascii="仿宋_GB2312" w:hAnsi="华文细黑" w:eastAsia="仿宋_GB2312"/>
                <w:color w:val="auto"/>
              </w:rPr>
            </w:pPr>
          </w:p>
        </w:tc>
        <w:tc>
          <w:tcPr>
            <w:tcW w:w="1365" w:type="dxa"/>
            <w:vAlign w:val="center"/>
          </w:tcPr>
          <w:p w14:paraId="71578197">
            <w:pPr>
              <w:jc w:val="center"/>
              <w:rPr>
                <w:rFonts w:ascii="仿宋_GB2312" w:hAnsi="华文细黑" w:eastAsia="仿宋_GB2312" w:cs="仿宋"/>
                <w:color w:val="auto"/>
              </w:rPr>
            </w:pPr>
            <w:r>
              <w:rPr>
                <w:rFonts w:hint="eastAsia" w:ascii="仿宋_GB2312" w:hAnsi="华文细黑" w:eastAsia="仿宋_GB2312" w:cs="仿宋"/>
                <w:color w:val="auto"/>
              </w:rPr>
              <w:t>综合得分</w:t>
            </w:r>
          </w:p>
        </w:tc>
        <w:tc>
          <w:tcPr>
            <w:tcW w:w="7529" w:type="dxa"/>
            <w:gridSpan w:val="4"/>
            <w:vAlign w:val="center"/>
          </w:tcPr>
          <w:p w14:paraId="437CFF52">
            <w:pPr>
              <w:jc w:val="left"/>
              <w:rPr>
                <w:rFonts w:ascii="仿宋_GB2312" w:hAnsi="华文细黑" w:eastAsia="仿宋_GB2312"/>
                <w:color w:val="auto"/>
                <w:sz w:val="24"/>
              </w:rPr>
            </w:pPr>
            <w:r>
              <w:rPr>
                <w:rFonts w:hint="eastAsia" w:ascii="仿宋_GB2312" w:hAnsi="华文细黑" w:eastAsia="仿宋_GB2312"/>
                <w:color w:val="auto"/>
                <w:sz w:val="24"/>
              </w:rPr>
              <w:t>采用百分倒扣评分制，减除所扣分数，最后得分：</w:t>
            </w:r>
          </w:p>
          <w:p w14:paraId="2DBE2DF5">
            <w:pPr>
              <w:jc w:val="left"/>
              <w:rPr>
                <w:rFonts w:ascii="仿宋_GB2312" w:hAnsi="华文细黑" w:eastAsia="仿宋_GB2312"/>
                <w:color w:val="auto"/>
              </w:rPr>
            </w:pPr>
          </w:p>
          <w:p w14:paraId="732647CC">
            <w:pPr>
              <w:jc w:val="left"/>
              <w:rPr>
                <w:rFonts w:ascii="仿宋_GB2312" w:hAnsi="华文细黑" w:eastAsia="仿宋_GB2312"/>
                <w:color w:val="auto"/>
              </w:rPr>
            </w:pPr>
            <w:r>
              <w:rPr>
                <w:rFonts w:hint="eastAsia" w:ascii="仿宋_GB2312" w:hAnsi="华文细黑" w:eastAsia="仿宋_GB2312"/>
                <w:color w:val="auto"/>
              </w:rPr>
              <w:t>注：合格分数线：85分</w:t>
            </w:r>
          </w:p>
        </w:tc>
      </w:tr>
      <w:tr w14:paraId="3C2D4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735" w:type="dxa"/>
            <w:vMerge w:val="continue"/>
            <w:vAlign w:val="center"/>
          </w:tcPr>
          <w:p w14:paraId="5BFF7AB2">
            <w:pPr>
              <w:widowControl/>
              <w:jc w:val="center"/>
              <w:rPr>
                <w:rFonts w:ascii="仿宋_GB2312" w:hAnsi="华文细黑" w:eastAsia="仿宋_GB2312"/>
                <w:color w:val="auto"/>
              </w:rPr>
            </w:pPr>
          </w:p>
        </w:tc>
        <w:tc>
          <w:tcPr>
            <w:tcW w:w="1365" w:type="dxa"/>
            <w:vAlign w:val="center"/>
          </w:tcPr>
          <w:p w14:paraId="4C1743FE">
            <w:pPr>
              <w:jc w:val="center"/>
              <w:rPr>
                <w:rFonts w:ascii="仿宋_GB2312" w:hAnsi="华文细黑" w:eastAsia="仿宋_GB2312" w:cs="仿宋"/>
                <w:color w:val="auto"/>
              </w:rPr>
            </w:pPr>
            <w:r>
              <w:rPr>
                <w:rFonts w:hint="eastAsia" w:ascii="仿宋_GB2312" w:hAnsi="华文细黑" w:eastAsia="仿宋_GB2312" w:cs="仿宋"/>
                <w:color w:val="auto"/>
              </w:rPr>
              <w:t>评价部门评语</w:t>
            </w:r>
          </w:p>
        </w:tc>
        <w:tc>
          <w:tcPr>
            <w:tcW w:w="7529" w:type="dxa"/>
            <w:gridSpan w:val="4"/>
            <w:vAlign w:val="center"/>
          </w:tcPr>
          <w:p w14:paraId="64ADA2FD">
            <w:pPr>
              <w:jc w:val="left"/>
              <w:rPr>
                <w:rFonts w:ascii="仿宋_GB2312" w:hAnsi="华文细黑" w:eastAsia="仿宋_GB2312"/>
                <w:color w:val="auto"/>
              </w:rPr>
            </w:pPr>
          </w:p>
        </w:tc>
      </w:tr>
      <w:tr w14:paraId="4BF0A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14:paraId="0833C29F">
            <w:pPr>
              <w:widowControl/>
              <w:jc w:val="center"/>
              <w:rPr>
                <w:rFonts w:ascii="仿宋_GB2312" w:hAnsi="华文细黑" w:eastAsia="仿宋_GB2312"/>
                <w:color w:val="auto"/>
              </w:rPr>
            </w:pPr>
          </w:p>
        </w:tc>
        <w:tc>
          <w:tcPr>
            <w:tcW w:w="1365" w:type="dxa"/>
            <w:vAlign w:val="center"/>
          </w:tcPr>
          <w:p w14:paraId="4874C851">
            <w:pPr>
              <w:jc w:val="center"/>
              <w:rPr>
                <w:rFonts w:ascii="仿宋_GB2312" w:hAnsi="华文细黑" w:eastAsia="仿宋_GB2312" w:cs="仿宋"/>
                <w:color w:val="auto"/>
              </w:rPr>
            </w:pPr>
            <w:r>
              <w:rPr>
                <w:rFonts w:hint="eastAsia" w:ascii="仿宋_GB2312" w:hAnsi="华文细黑" w:eastAsia="仿宋_GB2312" w:cs="仿宋"/>
                <w:color w:val="auto"/>
              </w:rPr>
              <w:t>评价人</w:t>
            </w:r>
          </w:p>
        </w:tc>
        <w:tc>
          <w:tcPr>
            <w:tcW w:w="3991" w:type="dxa"/>
            <w:gridSpan w:val="2"/>
            <w:vAlign w:val="center"/>
          </w:tcPr>
          <w:p w14:paraId="35E30B28">
            <w:pPr>
              <w:jc w:val="center"/>
              <w:rPr>
                <w:rFonts w:ascii="仿宋_GB2312" w:hAnsi="华文细黑" w:eastAsia="仿宋_GB2312"/>
                <w:color w:val="auto"/>
              </w:rPr>
            </w:pPr>
          </w:p>
        </w:tc>
        <w:tc>
          <w:tcPr>
            <w:tcW w:w="3538" w:type="dxa"/>
            <w:gridSpan w:val="2"/>
            <w:vAlign w:val="center"/>
          </w:tcPr>
          <w:p w14:paraId="7756FA81">
            <w:pPr>
              <w:jc w:val="left"/>
              <w:rPr>
                <w:rFonts w:ascii="仿宋_GB2312" w:hAnsi="华文细黑" w:eastAsia="仿宋_GB2312"/>
                <w:color w:val="auto"/>
              </w:rPr>
            </w:pPr>
            <w:r>
              <w:rPr>
                <w:rFonts w:hint="eastAsia" w:ascii="仿宋_GB2312" w:hAnsi="华文细黑" w:eastAsia="仿宋_GB2312"/>
                <w:color w:val="auto"/>
              </w:rPr>
              <w:t>部门审批</w:t>
            </w:r>
          </w:p>
        </w:tc>
      </w:tr>
      <w:tr w14:paraId="1CF20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14:paraId="58F4273A">
            <w:pPr>
              <w:jc w:val="center"/>
              <w:rPr>
                <w:rFonts w:ascii="仿宋_GB2312" w:hAnsi="华文细黑" w:eastAsia="仿宋_GB2312"/>
                <w:color w:val="auto"/>
              </w:rPr>
            </w:pPr>
            <w:r>
              <w:rPr>
                <w:rFonts w:hint="eastAsia" w:ascii="仿宋_GB2312" w:hAnsi="华文细黑" w:eastAsia="仿宋_GB2312"/>
                <w:color w:val="auto"/>
              </w:rPr>
              <w:t>品</w:t>
            </w:r>
          </w:p>
          <w:p w14:paraId="787E1A3B">
            <w:pPr>
              <w:jc w:val="center"/>
              <w:rPr>
                <w:rFonts w:ascii="仿宋_GB2312" w:hAnsi="华文细黑" w:eastAsia="仿宋_GB2312"/>
                <w:color w:val="auto"/>
              </w:rPr>
            </w:pPr>
            <w:r>
              <w:rPr>
                <w:rFonts w:hint="eastAsia" w:ascii="仿宋_GB2312" w:hAnsi="华文细黑" w:eastAsia="仿宋_GB2312"/>
                <w:color w:val="auto"/>
              </w:rPr>
              <w:t>质部</w:t>
            </w:r>
          </w:p>
        </w:tc>
        <w:tc>
          <w:tcPr>
            <w:tcW w:w="1365" w:type="dxa"/>
            <w:vAlign w:val="center"/>
          </w:tcPr>
          <w:p w14:paraId="0BD0A00A">
            <w:pPr>
              <w:tabs>
                <w:tab w:val="left" w:pos="4512"/>
              </w:tabs>
              <w:jc w:val="center"/>
              <w:rPr>
                <w:rFonts w:ascii="仿宋_GB2312" w:hAnsi="华文细黑" w:eastAsia="仿宋_GB2312"/>
                <w:color w:val="auto"/>
              </w:rPr>
            </w:pPr>
            <w:r>
              <w:rPr>
                <w:rFonts w:hint="eastAsia" w:ascii="仿宋_GB2312" w:hAnsi="华文细黑" w:eastAsia="仿宋_GB2312"/>
                <w:color w:val="auto"/>
              </w:rPr>
              <w:t>验证评估</w:t>
            </w:r>
          </w:p>
        </w:tc>
        <w:tc>
          <w:tcPr>
            <w:tcW w:w="7529" w:type="dxa"/>
            <w:gridSpan w:val="4"/>
            <w:vAlign w:val="center"/>
          </w:tcPr>
          <w:p w14:paraId="000EF728">
            <w:pPr>
              <w:tabs>
                <w:tab w:val="left" w:pos="4512"/>
              </w:tabs>
              <w:rPr>
                <w:rFonts w:ascii="仿宋_GB2312" w:hAnsi="华文细黑" w:eastAsia="仿宋_GB2312"/>
                <w:color w:val="auto"/>
              </w:rPr>
            </w:pPr>
          </w:p>
          <w:p w14:paraId="099761BE">
            <w:pPr>
              <w:tabs>
                <w:tab w:val="left" w:pos="4512"/>
              </w:tabs>
              <w:rPr>
                <w:rFonts w:ascii="仿宋_GB2312" w:hAnsi="华文细黑" w:eastAsia="仿宋_GB2312"/>
                <w:color w:val="auto"/>
              </w:rPr>
            </w:pPr>
          </w:p>
          <w:p w14:paraId="72006DEB">
            <w:pPr>
              <w:tabs>
                <w:tab w:val="left" w:pos="4512"/>
              </w:tabs>
              <w:ind w:firstLine="4935" w:firstLineChars="2350"/>
              <w:rPr>
                <w:rFonts w:ascii="仿宋_GB2312" w:hAnsi="华文细黑" w:eastAsia="仿宋_GB2312"/>
                <w:color w:val="auto"/>
              </w:rPr>
            </w:pPr>
            <w:r>
              <w:rPr>
                <w:rFonts w:hint="eastAsia" w:ascii="仿宋_GB2312" w:hAnsi="华文细黑" w:eastAsia="仿宋_GB2312"/>
                <w:color w:val="auto"/>
              </w:rPr>
              <w:t>部门负责人：</w:t>
            </w:r>
          </w:p>
        </w:tc>
      </w:tr>
      <w:tr w14:paraId="39C3B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629" w:type="dxa"/>
            <w:gridSpan w:val="6"/>
            <w:vAlign w:val="center"/>
          </w:tcPr>
          <w:p w14:paraId="3EEAF61B">
            <w:pPr>
              <w:tabs>
                <w:tab w:val="left" w:pos="4512"/>
              </w:tabs>
              <w:rPr>
                <w:rFonts w:ascii="仿宋_GB2312" w:hAnsi="华文细黑" w:eastAsia="仿宋_GB2312"/>
                <w:color w:val="auto"/>
              </w:rPr>
            </w:pPr>
            <w:r>
              <w:rPr>
                <w:rFonts w:hint="eastAsia" w:ascii="仿宋_GB2312" w:hAnsi="华文细黑" w:eastAsia="仿宋_GB2312"/>
                <w:color w:val="auto"/>
              </w:rPr>
              <w:t>以下适用于单项履约评价</w:t>
            </w:r>
          </w:p>
        </w:tc>
      </w:tr>
      <w:tr w14:paraId="26A2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14:paraId="61BBA2FE">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非招标采购供方</w:t>
            </w:r>
          </w:p>
        </w:tc>
        <w:tc>
          <w:tcPr>
            <w:tcW w:w="1365" w:type="dxa"/>
            <w:vAlign w:val="center"/>
          </w:tcPr>
          <w:p w14:paraId="05191D21">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项目分管领导审批</w:t>
            </w:r>
          </w:p>
        </w:tc>
        <w:tc>
          <w:tcPr>
            <w:tcW w:w="7529" w:type="dxa"/>
            <w:gridSpan w:val="4"/>
            <w:vAlign w:val="center"/>
          </w:tcPr>
          <w:p w14:paraId="312282B6">
            <w:pPr>
              <w:tabs>
                <w:tab w:val="left" w:pos="4512"/>
              </w:tabs>
              <w:rPr>
                <w:rFonts w:ascii="仿宋_GB2312" w:hAnsi="华文细黑" w:eastAsia="仿宋_GB2312"/>
                <w:color w:val="auto"/>
              </w:rPr>
            </w:pPr>
          </w:p>
        </w:tc>
      </w:tr>
      <w:tr w14:paraId="087B5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14:paraId="1A56E192">
            <w:pPr>
              <w:tabs>
                <w:tab w:val="left" w:pos="4512"/>
              </w:tabs>
              <w:jc w:val="center"/>
              <w:rPr>
                <w:rFonts w:ascii="仿宋_GB2312" w:hAnsi="华文细黑" w:eastAsia="仿宋_GB2312" w:cs="仿宋"/>
                <w:color w:val="auto"/>
              </w:rPr>
            </w:pPr>
            <w:r>
              <w:rPr>
                <w:rFonts w:hint="eastAsia" w:ascii="仿宋_GB2312" w:hAnsi="华文细黑" w:eastAsia="仿宋_GB2312" w:cs="仿宋"/>
                <w:color w:val="auto"/>
              </w:rPr>
              <w:t>招标采购供方</w:t>
            </w:r>
          </w:p>
        </w:tc>
        <w:tc>
          <w:tcPr>
            <w:tcW w:w="1365" w:type="dxa"/>
            <w:vAlign w:val="center"/>
          </w:tcPr>
          <w:p w14:paraId="27875DAD">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招标委员会审批</w:t>
            </w:r>
          </w:p>
        </w:tc>
        <w:tc>
          <w:tcPr>
            <w:tcW w:w="7529" w:type="dxa"/>
            <w:gridSpan w:val="4"/>
            <w:vAlign w:val="center"/>
          </w:tcPr>
          <w:p w14:paraId="7563FAB7">
            <w:pPr>
              <w:tabs>
                <w:tab w:val="left" w:pos="4512"/>
              </w:tabs>
              <w:rPr>
                <w:rFonts w:ascii="仿宋_GB2312" w:hAnsi="华文细黑" w:eastAsia="仿宋_GB2312"/>
                <w:color w:val="auto"/>
              </w:rPr>
            </w:pPr>
          </w:p>
        </w:tc>
      </w:tr>
    </w:tbl>
    <w:p w14:paraId="0AAF82A8">
      <w:pPr>
        <w:spacing w:line="520" w:lineRule="atLeast"/>
        <w:rPr>
          <w:rFonts w:cs="Arial"/>
          <w:color w:val="auto"/>
          <w:sz w:val="30"/>
          <w:szCs w:val="30"/>
        </w:rPr>
      </w:pPr>
    </w:p>
    <w:p w14:paraId="55EAADF6">
      <w:pPr>
        <w:rPr>
          <w:rFonts w:ascii="仿宋_GB2312" w:hAnsi="华文细黑" w:eastAsia="仿宋_GB2312"/>
          <w:b/>
          <w:color w:val="auto"/>
          <w:sz w:val="32"/>
        </w:rPr>
      </w:pPr>
      <w:r>
        <w:rPr>
          <w:rFonts w:hint="eastAsia" w:ascii="仿宋_GB2312" w:hAnsi="华文细黑" w:eastAsia="仿宋_GB2312"/>
          <w:b/>
          <w:color w:val="auto"/>
          <w:sz w:val="32"/>
        </w:rPr>
        <w:br w:type="page"/>
      </w:r>
      <w:r>
        <w:rPr>
          <w:rFonts w:hint="eastAsia" w:ascii="仿宋" w:hAnsi="仿宋" w:eastAsia="仿宋"/>
          <w:b/>
          <w:bCs/>
          <w:color w:val="auto"/>
          <w:sz w:val="30"/>
          <w:szCs w:val="30"/>
        </w:rPr>
        <w:t>附件七：年度履约评价表</w:t>
      </w:r>
      <w:r>
        <w:rPr>
          <w:rFonts w:ascii="仿宋" w:hAnsi="仿宋" w:eastAsia="仿宋"/>
          <w:b/>
          <w:bCs/>
          <w:color w:val="auto"/>
          <w:sz w:val="30"/>
          <w:szCs w:val="30"/>
        </w:rPr>
        <w:t xml:space="preserve">    </w:t>
      </w:r>
      <w:r>
        <w:rPr>
          <w:rFonts w:hint="eastAsia" w:ascii="仿宋_GB2312" w:hAnsi="华文细黑" w:eastAsia="仿宋_GB2312"/>
          <w:b/>
          <w:color w:val="auto"/>
          <w:sz w:val="32"/>
        </w:rPr>
        <w:t xml:space="preserve">      </w:t>
      </w:r>
    </w:p>
    <w:p w14:paraId="5E11C539">
      <w:pPr>
        <w:jc w:val="center"/>
        <w:rPr>
          <w:rFonts w:ascii="仿宋_GB2312" w:hAnsi="华文细黑" w:eastAsia="仿宋_GB2312"/>
          <w:b/>
          <w:color w:val="auto"/>
          <w:sz w:val="32"/>
        </w:rPr>
      </w:pPr>
      <w:r>
        <w:rPr>
          <w:rFonts w:hint="eastAsia" w:ascii="仿宋_GB2312" w:hAnsi="华文细黑" w:eastAsia="仿宋_GB2312"/>
          <w:b/>
          <w:color w:val="auto"/>
          <w:sz w:val="32"/>
        </w:rPr>
        <w:t>青年公寓/标准厂房项目消防系统维保年度履约评价表</w:t>
      </w:r>
    </w:p>
    <w:p w14:paraId="2468D4A4">
      <w:pPr>
        <w:rPr>
          <w:rFonts w:ascii="仿宋_GB2312" w:eastAsia="仿宋_GB2312"/>
          <w:color w:val="auto"/>
        </w:rPr>
      </w:pPr>
      <w:r>
        <w:rPr>
          <w:rFonts w:hint="eastAsia" w:ascii="仿宋_GB2312" w:eastAsia="仿宋_GB2312"/>
          <w:color w:val="auto"/>
        </w:rPr>
        <w:t xml:space="preserve">评价项目：                              </w:t>
      </w:r>
      <w:r>
        <w:rPr>
          <w:rFonts w:hint="eastAsia" w:ascii="仿宋_GB2312" w:hAnsi="华文细黑" w:eastAsia="仿宋_GB2312"/>
          <w:color w:val="auto"/>
        </w:rPr>
        <w:t>专业分类：</w:t>
      </w:r>
    </w:p>
    <w:tbl>
      <w:tblPr>
        <w:tblStyle w:val="8"/>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050"/>
        <w:gridCol w:w="1350"/>
        <w:gridCol w:w="1159"/>
        <w:gridCol w:w="192"/>
        <w:gridCol w:w="1284"/>
        <w:gridCol w:w="1034"/>
        <w:gridCol w:w="100"/>
        <w:gridCol w:w="1205"/>
        <w:gridCol w:w="1205"/>
      </w:tblGrid>
      <w:tr w14:paraId="26A84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14:paraId="66AB8CB0">
            <w:pPr>
              <w:rPr>
                <w:rFonts w:ascii="仿宋_GB2312" w:hAnsi="华文细黑" w:eastAsia="仿宋_GB2312"/>
                <w:color w:val="auto"/>
                <w:u w:val="single"/>
              </w:rPr>
            </w:pPr>
            <w:r>
              <w:rPr>
                <w:rFonts w:hint="eastAsia" w:ascii="仿宋_GB2312" w:hAnsi="华文细黑" w:eastAsia="仿宋_GB2312"/>
                <w:color w:val="auto"/>
              </w:rPr>
              <w:t xml:space="preserve">供方名称：                                       </w:t>
            </w:r>
          </w:p>
        </w:tc>
      </w:tr>
      <w:tr w14:paraId="37389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14:paraId="63482BEE">
            <w:pPr>
              <w:rPr>
                <w:rFonts w:ascii="仿宋_GB2312" w:hAnsi="华文细黑" w:eastAsia="仿宋_GB2312"/>
                <w:color w:val="auto"/>
              </w:rPr>
            </w:pPr>
            <w:r>
              <w:rPr>
                <w:rFonts w:hint="eastAsia" w:ascii="仿宋_GB2312" w:hAnsi="华文细黑" w:eastAsia="仿宋_GB2312"/>
                <w:color w:val="auto"/>
              </w:rPr>
              <w:t>年度评价类型：</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长期合同期满一年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s="仿宋"/>
                <w:color w:val="auto"/>
              </w:rPr>
              <w:t>合同期结算、在支付最后一笔款项前</w:t>
            </w:r>
          </w:p>
        </w:tc>
      </w:tr>
      <w:tr w14:paraId="5D54B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14:paraId="36F63B3F">
            <w:pPr>
              <w:rPr>
                <w:rFonts w:ascii="仿宋_GB2312" w:hAnsi="华文细黑" w:eastAsia="仿宋_GB2312"/>
                <w:color w:val="auto"/>
              </w:rPr>
            </w:pPr>
            <w:r>
              <w:rPr>
                <w:rFonts w:hint="eastAsia" w:ascii="仿宋_GB2312" w:hAnsi="华文细黑" w:eastAsia="仿宋_GB2312"/>
                <w:color w:val="auto"/>
              </w:rPr>
              <w:t>服务范围：</w:t>
            </w:r>
          </w:p>
        </w:tc>
      </w:tr>
      <w:tr w14:paraId="22BC1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14:paraId="5D056635">
            <w:pPr>
              <w:rPr>
                <w:rFonts w:ascii="仿宋_GB2312" w:hAnsi="华文细黑" w:eastAsia="仿宋_GB2312"/>
                <w:color w:val="auto"/>
              </w:rPr>
            </w:pPr>
            <w:r>
              <w:rPr>
                <w:rFonts w:hint="eastAsia" w:ascii="仿宋_GB2312" w:hAnsi="华文细黑" w:eastAsia="仿宋_GB2312"/>
                <w:color w:val="auto"/>
              </w:rPr>
              <w:t xml:space="preserve">合同周期：                                       </w:t>
            </w:r>
          </w:p>
        </w:tc>
      </w:tr>
      <w:tr w14:paraId="40B89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14:paraId="1F6A1DBC">
            <w:pPr>
              <w:rPr>
                <w:rFonts w:ascii="仿宋_GB2312" w:hAnsi="华文细黑" w:eastAsia="仿宋_GB2312"/>
                <w:color w:val="auto"/>
              </w:rPr>
            </w:pPr>
            <w:r>
              <w:rPr>
                <w:rFonts w:hint="eastAsia" w:ascii="仿宋_GB2312" w:hAnsi="华文细黑" w:eastAsia="仿宋_GB2312"/>
                <w:color w:val="auto"/>
              </w:rPr>
              <w:t>日常履约评价周期：</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月评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季评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半年评</w:t>
            </w:r>
          </w:p>
        </w:tc>
      </w:tr>
      <w:tr w14:paraId="4B60C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14:paraId="78C79DA6">
            <w:pPr>
              <w:jc w:val="center"/>
              <w:rPr>
                <w:rFonts w:ascii="仿宋_GB2312" w:hAnsi="华文细黑" w:eastAsia="仿宋_GB2312"/>
                <w:color w:val="auto"/>
              </w:rPr>
            </w:pPr>
            <w:r>
              <w:rPr>
                <w:rFonts w:hint="eastAsia" w:ascii="仿宋_GB2312" w:hAnsi="华文细黑" w:eastAsia="仿宋_GB2312"/>
                <w:color w:val="auto"/>
              </w:rPr>
              <w:t>日常履约评价得分</w:t>
            </w:r>
          </w:p>
          <w:p w14:paraId="1A1ECA66">
            <w:pPr>
              <w:jc w:val="center"/>
              <w:rPr>
                <w:rFonts w:ascii="仿宋_GB2312" w:hAnsi="华文细黑" w:eastAsia="仿宋_GB2312"/>
                <w:color w:val="auto"/>
              </w:rPr>
            </w:pPr>
            <w:r>
              <w:rPr>
                <w:rFonts w:hint="eastAsia" w:ascii="仿宋_GB2312" w:hAnsi="华文细黑" w:eastAsia="仿宋_GB2312"/>
                <w:color w:val="auto"/>
              </w:rPr>
              <w:t>占权重７０％</w:t>
            </w:r>
          </w:p>
        </w:tc>
        <w:tc>
          <w:tcPr>
            <w:tcW w:w="1350" w:type="dxa"/>
            <w:vAlign w:val="center"/>
          </w:tcPr>
          <w:p w14:paraId="5395DE68">
            <w:pPr>
              <w:jc w:val="center"/>
              <w:rPr>
                <w:rFonts w:ascii="仿宋_GB2312" w:hAnsi="华文细黑" w:eastAsia="仿宋_GB2312"/>
                <w:color w:val="auto"/>
              </w:rPr>
            </w:pPr>
          </w:p>
        </w:tc>
        <w:tc>
          <w:tcPr>
            <w:tcW w:w="1351" w:type="dxa"/>
            <w:gridSpan w:val="2"/>
            <w:vAlign w:val="center"/>
          </w:tcPr>
          <w:p w14:paraId="61A25AE5">
            <w:pPr>
              <w:jc w:val="center"/>
              <w:rPr>
                <w:rFonts w:ascii="仿宋_GB2312" w:hAnsi="华文细黑" w:eastAsia="仿宋_GB2312"/>
                <w:color w:val="auto"/>
              </w:rPr>
            </w:pPr>
          </w:p>
        </w:tc>
        <w:tc>
          <w:tcPr>
            <w:tcW w:w="1284" w:type="dxa"/>
            <w:vAlign w:val="center"/>
          </w:tcPr>
          <w:p w14:paraId="339D5E28">
            <w:pPr>
              <w:jc w:val="center"/>
              <w:rPr>
                <w:rFonts w:ascii="仿宋_GB2312" w:hAnsi="华文细黑" w:eastAsia="仿宋_GB2312"/>
                <w:color w:val="auto"/>
              </w:rPr>
            </w:pPr>
          </w:p>
        </w:tc>
        <w:tc>
          <w:tcPr>
            <w:tcW w:w="1134" w:type="dxa"/>
            <w:gridSpan w:val="2"/>
            <w:vAlign w:val="center"/>
          </w:tcPr>
          <w:p w14:paraId="1962784C">
            <w:pPr>
              <w:jc w:val="center"/>
              <w:rPr>
                <w:rFonts w:ascii="仿宋_GB2312" w:hAnsi="华文细黑" w:eastAsia="仿宋_GB2312"/>
                <w:color w:val="auto"/>
              </w:rPr>
            </w:pPr>
          </w:p>
        </w:tc>
        <w:tc>
          <w:tcPr>
            <w:tcW w:w="1205" w:type="dxa"/>
            <w:vAlign w:val="center"/>
          </w:tcPr>
          <w:p w14:paraId="06E521BD">
            <w:pPr>
              <w:jc w:val="center"/>
              <w:rPr>
                <w:rFonts w:ascii="仿宋_GB2312" w:hAnsi="华文细黑" w:eastAsia="仿宋_GB2312"/>
                <w:color w:val="auto"/>
              </w:rPr>
            </w:pPr>
          </w:p>
        </w:tc>
        <w:tc>
          <w:tcPr>
            <w:tcW w:w="1205" w:type="dxa"/>
            <w:vAlign w:val="center"/>
          </w:tcPr>
          <w:p w14:paraId="0051FEDA">
            <w:pPr>
              <w:jc w:val="center"/>
              <w:rPr>
                <w:rFonts w:ascii="仿宋_GB2312" w:hAnsi="华文细黑" w:eastAsia="仿宋_GB2312"/>
                <w:color w:val="auto"/>
              </w:rPr>
            </w:pPr>
          </w:p>
        </w:tc>
      </w:tr>
      <w:tr w14:paraId="3CCEA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205BA9D7">
            <w:pPr>
              <w:jc w:val="center"/>
              <w:rPr>
                <w:rFonts w:ascii="仿宋_GB2312" w:hAnsi="华文细黑" w:eastAsia="仿宋_GB2312"/>
                <w:color w:val="auto"/>
              </w:rPr>
            </w:pPr>
          </w:p>
        </w:tc>
        <w:tc>
          <w:tcPr>
            <w:tcW w:w="1350" w:type="dxa"/>
            <w:vAlign w:val="center"/>
          </w:tcPr>
          <w:p w14:paraId="780FE1C5">
            <w:pPr>
              <w:jc w:val="center"/>
              <w:rPr>
                <w:rFonts w:ascii="仿宋_GB2312" w:hAnsi="华文细黑" w:eastAsia="仿宋_GB2312"/>
                <w:color w:val="auto"/>
              </w:rPr>
            </w:pPr>
          </w:p>
        </w:tc>
        <w:tc>
          <w:tcPr>
            <w:tcW w:w="1351" w:type="dxa"/>
            <w:gridSpan w:val="2"/>
            <w:vAlign w:val="center"/>
          </w:tcPr>
          <w:p w14:paraId="63406618">
            <w:pPr>
              <w:jc w:val="center"/>
              <w:rPr>
                <w:rFonts w:ascii="仿宋_GB2312" w:hAnsi="华文细黑" w:eastAsia="仿宋_GB2312"/>
                <w:color w:val="auto"/>
              </w:rPr>
            </w:pPr>
          </w:p>
        </w:tc>
        <w:tc>
          <w:tcPr>
            <w:tcW w:w="1284" w:type="dxa"/>
            <w:vAlign w:val="center"/>
          </w:tcPr>
          <w:p w14:paraId="0B681639">
            <w:pPr>
              <w:jc w:val="center"/>
              <w:rPr>
                <w:rFonts w:ascii="仿宋_GB2312" w:hAnsi="华文细黑" w:eastAsia="仿宋_GB2312"/>
                <w:color w:val="auto"/>
              </w:rPr>
            </w:pPr>
          </w:p>
        </w:tc>
        <w:tc>
          <w:tcPr>
            <w:tcW w:w="1134" w:type="dxa"/>
            <w:gridSpan w:val="2"/>
            <w:vAlign w:val="center"/>
          </w:tcPr>
          <w:p w14:paraId="1E3861E4">
            <w:pPr>
              <w:jc w:val="center"/>
              <w:rPr>
                <w:rFonts w:ascii="仿宋_GB2312" w:hAnsi="华文细黑" w:eastAsia="仿宋_GB2312"/>
                <w:color w:val="auto"/>
              </w:rPr>
            </w:pPr>
          </w:p>
        </w:tc>
        <w:tc>
          <w:tcPr>
            <w:tcW w:w="1205" w:type="dxa"/>
            <w:vAlign w:val="center"/>
          </w:tcPr>
          <w:p w14:paraId="590AED68">
            <w:pPr>
              <w:jc w:val="center"/>
              <w:rPr>
                <w:rFonts w:ascii="仿宋_GB2312" w:hAnsi="华文细黑" w:eastAsia="仿宋_GB2312"/>
                <w:color w:val="auto"/>
              </w:rPr>
            </w:pPr>
          </w:p>
        </w:tc>
        <w:tc>
          <w:tcPr>
            <w:tcW w:w="1205" w:type="dxa"/>
            <w:vAlign w:val="center"/>
          </w:tcPr>
          <w:p w14:paraId="1E14D2CA">
            <w:pPr>
              <w:jc w:val="center"/>
              <w:rPr>
                <w:rFonts w:ascii="仿宋_GB2312" w:hAnsi="华文细黑" w:eastAsia="仿宋_GB2312"/>
                <w:color w:val="auto"/>
              </w:rPr>
            </w:pPr>
          </w:p>
        </w:tc>
      </w:tr>
      <w:tr w14:paraId="72D82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60BC742F">
            <w:pPr>
              <w:jc w:val="center"/>
              <w:rPr>
                <w:rFonts w:ascii="仿宋_GB2312" w:hAnsi="华文细黑" w:eastAsia="仿宋_GB2312"/>
                <w:color w:val="auto"/>
              </w:rPr>
            </w:pPr>
          </w:p>
        </w:tc>
        <w:tc>
          <w:tcPr>
            <w:tcW w:w="7529" w:type="dxa"/>
            <w:gridSpan w:val="8"/>
            <w:vAlign w:val="center"/>
          </w:tcPr>
          <w:p w14:paraId="08CBD7C6">
            <w:pPr>
              <w:jc w:val="left"/>
              <w:rPr>
                <w:rFonts w:ascii="仿宋_GB2312" w:hAnsi="华文细黑" w:eastAsia="仿宋_GB2312"/>
                <w:color w:val="auto"/>
              </w:rPr>
            </w:pPr>
            <w:r>
              <w:rPr>
                <w:rFonts w:hint="eastAsia" w:ascii="仿宋_GB2312" w:hAnsi="华文细黑" w:eastAsia="仿宋_GB2312"/>
                <w:color w:val="auto"/>
              </w:rPr>
              <w:t>年度算术平均得分：</w:t>
            </w:r>
          </w:p>
        </w:tc>
      </w:tr>
      <w:tr w14:paraId="222B1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1F07FE65">
            <w:pPr>
              <w:jc w:val="center"/>
              <w:rPr>
                <w:rFonts w:ascii="仿宋_GB2312" w:hAnsi="华文细黑" w:eastAsia="仿宋_GB2312"/>
                <w:color w:val="auto"/>
              </w:rPr>
            </w:pPr>
          </w:p>
        </w:tc>
        <w:tc>
          <w:tcPr>
            <w:tcW w:w="7529" w:type="dxa"/>
            <w:gridSpan w:val="8"/>
            <w:vAlign w:val="center"/>
          </w:tcPr>
          <w:p w14:paraId="1E8FCF26">
            <w:pPr>
              <w:jc w:val="left"/>
              <w:rPr>
                <w:rFonts w:ascii="仿宋_GB2312" w:hAnsi="华文细黑" w:eastAsia="仿宋_GB2312"/>
                <w:color w:val="auto"/>
              </w:rPr>
            </w:pPr>
            <w:r>
              <w:rPr>
                <w:rFonts w:hint="eastAsia" w:ascii="仿宋_GB2312" w:hAnsi="华文细黑" w:eastAsia="仿宋_GB2312"/>
                <w:color w:val="auto"/>
              </w:rPr>
              <w:t>权重70%，换算得分：</w:t>
            </w:r>
          </w:p>
        </w:tc>
      </w:tr>
      <w:tr w14:paraId="26A9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14:paraId="21A9998D">
            <w:pPr>
              <w:jc w:val="center"/>
              <w:rPr>
                <w:rFonts w:ascii="仿宋_GB2312" w:hAnsi="华文细黑" w:eastAsia="仿宋_GB2312" w:cs="仿宋"/>
                <w:color w:val="auto"/>
              </w:rPr>
            </w:pPr>
            <w:r>
              <w:rPr>
                <w:rFonts w:hint="eastAsia" w:ascii="仿宋_GB2312" w:hAnsi="华文细黑" w:eastAsia="仿宋_GB2312" w:cs="仿宋"/>
                <w:color w:val="auto"/>
              </w:rPr>
              <w:t>年度第三方检查结果</w:t>
            </w:r>
          </w:p>
          <w:p w14:paraId="1971E2A4">
            <w:pPr>
              <w:jc w:val="center"/>
              <w:rPr>
                <w:rFonts w:ascii="仿宋_GB2312" w:hAnsi="华文细黑" w:eastAsia="仿宋_GB2312"/>
                <w:color w:val="auto"/>
              </w:rPr>
            </w:pPr>
            <w:r>
              <w:rPr>
                <w:rFonts w:hint="eastAsia" w:ascii="仿宋_GB2312" w:hAnsi="华文细黑" w:eastAsia="仿宋_GB2312" w:cs="仿宋"/>
                <w:color w:val="auto"/>
              </w:rPr>
              <w:t>占30%</w:t>
            </w:r>
          </w:p>
        </w:tc>
        <w:tc>
          <w:tcPr>
            <w:tcW w:w="2509" w:type="dxa"/>
            <w:gridSpan w:val="2"/>
            <w:vAlign w:val="center"/>
          </w:tcPr>
          <w:p w14:paraId="76265115">
            <w:pPr>
              <w:jc w:val="left"/>
              <w:rPr>
                <w:rFonts w:ascii="仿宋_GB2312" w:hAnsi="华文细黑" w:eastAsia="仿宋_GB2312"/>
                <w:color w:val="auto"/>
              </w:rPr>
            </w:pPr>
            <w:r>
              <w:rPr>
                <w:rFonts w:hint="eastAsia" w:ascii="仿宋_GB2312" w:hAnsi="华文细黑" w:eastAsia="仿宋_GB2312" w:cs="仿宋"/>
                <w:color w:val="auto"/>
              </w:rPr>
              <w:t>第三方客户满意度调查</w:t>
            </w:r>
          </w:p>
        </w:tc>
        <w:tc>
          <w:tcPr>
            <w:tcW w:w="2510" w:type="dxa"/>
            <w:gridSpan w:val="3"/>
            <w:vAlign w:val="center"/>
          </w:tcPr>
          <w:p w14:paraId="071DABB0">
            <w:pPr>
              <w:jc w:val="left"/>
              <w:rPr>
                <w:rFonts w:ascii="仿宋_GB2312" w:hAnsi="华文细黑" w:eastAsia="仿宋_GB2312"/>
                <w:color w:val="auto"/>
              </w:rPr>
            </w:pPr>
            <w:r>
              <w:rPr>
                <w:rFonts w:hint="eastAsia" w:ascii="仿宋_GB2312" w:hAnsi="华文细黑" w:eastAsia="仿宋_GB2312"/>
                <w:color w:val="auto"/>
              </w:rPr>
              <w:t>按80分为基准，每低1分，扣1分</w:t>
            </w:r>
          </w:p>
        </w:tc>
        <w:tc>
          <w:tcPr>
            <w:tcW w:w="2510" w:type="dxa"/>
            <w:gridSpan w:val="3"/>
            <w:vAlign w:val="center"/>
          </w:tcPr>
          <w:p w14:paraId="0999D9DC">
            <w:pPr>
              <w:jc w:val="left"/>
              <w:rPr>
                <w:rFonts w:ascii="仿宋_GB2312" w:hAnsi="华文细黑" w:eastAsia="仿宋_GB2312"/>
                <w:color w:val="auto"/>
              </w:rPr>
            </w:pPr>
            <w:r>
              <w:rPr>
                <w:rFonts w:hint="eastAsia" w:ascii="仿宋_GB2312" w:hAnsi="华文细黑" w:eastAsia="仿宋_GB2312"/>
                <w:color w:val="auto"/>
              </w:rPr>
              <w:t>扣分：</w:t>
            </w:r>
          </w:p>
        </w:tc>
      </w:tr>
      <w:tr w14:paraId="2A9F4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14ECD9FA">
            <w:pPr>
              <w:jc w:val="center"/>
              <w:rPr>
                <w:rFonts w:ascii="仿宋_GB2312" w:hAnsi="华文细黑" w:eastAsia="仿宋_GB2312" w:cs="仿宋"/>
                <w:color w:val="auto"/>
              </w:rPr>
            </w:pPr>
          </w:p>
        </w:tc>
        <w:tc>
          <w:tcPr>
            <w:tcW w:w="2509" w:type="dxa"/>
            <w:gridSpan w:val="2"/>
            <w:vAlign w:val="center"/>
          </w:tcPr>
          <w:p w14:paraId="2D90F2D8">
            <w:pPr>
              <w:jc w:val="left"/>
              <w:rPr>
                <w:rFonts w:ascii="仿宋_GB2312" w:hAnsi="华文细黑" w:eastAsia="仿宋_GB2312" w:cs="仿宋"/>
                <w:color w:val="auto"/>
              </w:rPr>
            </w:pPr>
            <w:r>
              <w:rPr>
                <w:rFonts w:hint="eastAsia" w:ascii="仿宋_GB2312" w:hAnsi="华文细黑" w:eastAsia="仿宋_GB2312" w:cs="仿宋"/>
                <w:color w:val="auto"/>
              </w:rPr>
              <w:t>第三方安全检查</w:t>
            </w:r>
          </w:p>
        </w:tc>
        <w:tc>
          <w:tcPr>
            <w:tcW w:w="2510" w:type="dxa"/>
            <w:gridSpan w:val="3"/>
            <w:vAlign w:val="center"/>
          </w:tcPr>
          <w:p w14:paraId="1A89AC6D">
            <w:pPr>
              <w:jc w:val="left"/>
              <w:rPr>
                <w:rFonts w:ascii="仿宋_GB2312" w:hAnsi="华文细黑" w:eastAsia="仿宋_GB2312"/>
                <w:color w:val="auto"/>
              </w:rPr>
            </w:pPr>
            <w:r>
              <w:rPr>
                <w:rFonts w:hint="eastAsia" w:ascii="仿宋_GB2312" w:hAnsi="华文细黑" w:eastAsia="仿宋_GB2312"/>
                <w:color w:val="auto"/>
              </w:rPr>
              <w:t>按75分为基准，每低1分，扣1分</w:t>
            </w:r>
          </w:p>
        </w:tc>
        <w:tc>
          <w:tcPr>
            <w:tcW w:w="2510" w:type="dxa"/>
            <w:gridSpan w:val="3"/>
            <w:vAlign w:val="center"/>
          </w:tcPr>
          <w:p w14:paraId="50D5E439">
            <w:pPr>
              <w:jc w:val="left"/>
              <w:rPr>
                <w:rFonts w:ascii="仿宋_GB2312" w:hAnsi="华文细黑" w:eastAsia="仿宋_GB2312"/>
                <w:color w:val="auto"/>
              </w:rPr>
            </w:pPr>
            <w:r>
              <w:rPr>
                <w:rFonts w:hint="eastAsia" w:ascii="仿宋_GB2312" w:hAnsi="华文细黑" w:eastAsia="仿宋_GB2312"/>
                <w:color w:val="auto"/>
              </w:rPr>
              <w:t>扣分：</w:t>
            </w:r>
          </w:p>
        </w:tc>
      </w:tr>
      <w:tr w14:paraId="53D43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517E7F2E">
            <w:pPr>
              <w:jc w:val="center"/>
              <w:rPr>
                <w:rFonts w:ascii="仿宋_GB2312" w:hAnsi="华文细黑" w:eastAsia="仿宋_GB2312" w:cs="仿宋"/>
                <w:color w:val="auto"/>
              </w:rPr>
            </w:pPr>
          </w:p>
        </w:tc>
        <w:tc>
          <w:tcPr>
            <w:tcW w:w="2509" w:type="dxa"/>
            <w:gridSpan w:val="2"/>
            <w:vAlign w:val="center"/>
          </w:tcPr>
          <w:p w14:paraId="6691408A">
            <w:pPr>
              <w:jc w:val="left"/>
              <w:rPr>
                <w:rFonts w:ascii="仿宋_GB2312" w:hAnsi="华文细黑" w:eastAsia="仿宋_GB2312" w:cs="仿宋"/>
                <w:color w:val="auto"/>
              </w:rPr>
            </w:pPr>
            <w:r>
              <w:rPr>
                <w:rFonts w:hint="eastAsia" w:ascii="仿宋_GB2312" w:hAnsi="华文细黑" w:eastAsia="仿宋_GB2312" w:cs="仿宋"/>
                <w:color w:val="auto"/>
              </w:rPr>
              <w:t>其他第三方检查</w:t>
            </w:r>
          </w:p>
        </w:tc>
        <w:tc>
          <w:tcPr>
            <w:tcW w:w="2510" w:type="dxa"/>
            <w:gridSpan w:val="3"/>
            <w:vAlign w:val="center"/>
          </w:tcPr>
          <w:p w14:paraId="382457DD">
            <w:pPr>
              <w:jc w:val="left"/>
              <w:rPr>
                <w:rFonts w:ascii="仿宋_GB2312" w:hAnsi="华文细黑" w:eastAsia="仿宋_GB2312"/>
                <w:color w:val="auto"/>
              </w:rPr>
            </w:pPr>
            <w:r>
              <w:rPr>
                <w:rFonts w:hint="eastAsia" w:ascii="仿宋_GB2312" w:hAnsi="华文细黑" w:eastAsia="仿宋_GB2312"/>
                <w:color w:val="auto"/>
              </w:rPr>
              <w:t>按75分为基准，每低1分，扣1分</w:t>
            </w:r>
          </w:p>
        </w:tc>
        <w:tc>
          <w:tcPr>
            <w:tcW w:w="2510" w:type="dxa"/>
            <w:gridSpan w:val="3"/>
            <w:vAlign w:val="center"/>
          </w:tcPr>
          <w:p w14:paraId="0F1A0D80">
            <w:pPr>
              <w:jc w:val="left"/>
              <w:rPr>
                <w:rFonts w:ascii="仿宋_GB2312" w:hAnsi="华文细黑" w:eastAsia="仿宋_GB2312"/>
                <w:color w:val="auto"/>
              </w:rPr>
            </w:pPr>
            <w:r>
              <w:rPr>
                <w:rFonts w:hint="eastAsia" w:ascii="仿宋_GB2312" w:hAnsi="华文细黑" w:eastAsia="仿宋_GB2312"/>
                <w:color w:val="auto"/>
              </w:rPr>
              <w:t>扣分：</w:t>
            </w:r>
          </w:p>
        </w:tc>
      </w:tr>
      <w:tr w14:paraId="5B213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76F1F2C3">
            <w:pPr>
              <w:jc w:val="center"/>
              <w:rPr>
                <w:rFonts w:ascii="仿宋_GB2312" w:hAnsi="华文细黑" w:eastAsia="仿宋_GB2312" w:cs="仿宋"/>
                <w:color w:val="auto"/>
              </w:rPr>
            </w:pPr>
          </w:p>
        </w:tc>
        <w:tc>
          <w:tcPr>
            <w:tcW w:w="2509" w:type="dxa"/>
            <w:gridSpan w:val="2"/>
            <w:vAlign w:val="center"/>
          </w:tcPr>
          <w:p w14:paraId="1889C00D">
            <w:pPr>
              <w:jc w:val="right"/>
              <w:rPr>
                <w:rFonts w:ascii="仿宋_GB2312" w:hAnsi="华文细黑" w:eastAsia="仿宋_GB2312" w:cs="仿宋"/>
                <w:color w:val="auto"/>
              </w:rPr>
            </w:pPr>
            <w:r>
              <w:rPr>
                <w:rFonts w:hint="eastAsia" w:ascii="仿宋_GB2312" w:hAnsi="华文细黑" w:eastAsia="仿宋_GB2312" w:cs="仿宋"/>
                <w:color w:val="auto"/>
              </w:rPr>
              <w:t>得分</w:t>
            </w:r>
          </w:p>
        </w:tc>
        <w:tc>
          <w:tcPr>
            <w:tcW w:w="5020" w:type="dxa"/>
            <w:gridSpan w:val="6"/>
            <w:vAlign w:val="center"/>
          </w:tcPr>
          <w:p w14:paraId="74E1A439">
            <w:pPr>
              <w:jc w:val="left"/>
              <w:rPr>
                <w:rFonts w:ascii="仿宋_GB2312" w:hAnsi="华文细黑" w:eastAsia="仿宋_GB2312"/>
                <w:color w:val="auto"/>
              </w:rPr>
            </w:pPr>
          </w:p>
        </w:tc>
      </w:tr>
      <w:tr w14:paraId="01971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14:paraId="77CA8FA6">
            <w:pPr>
              <w:jc w:val="left"/>
              <w:rPr>
                <w:rFonts w:ascii="仿宋_GB2312" w:hAnsi="华文细黑" w:eastAsia="仿宋_GB2312"/>
                <w:color w:val="auto"/>
              </w:rPr>
            </w:pPr>
            <w:r>
              <w:rPr>
                <w:rFonts w:hint="eastAsia" w:ascii="仿宋_GB2312" w:hAnsi="华文细黑" w:eastAsia="仿宋_GB2312"/>
                <w:color w:val="auto"/>
              </w:rPr>
              <w:t>备注：如本年度无第三方检查，相应权重并入日常履约评价。</w:t>
            </w:r>
          </w:p>
        </w:tc>
      </w:tr>
      <w:tr w14:paraId="78957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14:paraId="067D3DA6">
            <w:pPr>
              <w:jc w:val="center"/>
              <w:rPr>
                <w:rFonts w:ascii="仿宋_GB2312" w:hAnsi="华文细黑" w:eastAsia="仿宋_GB2312" w:cs="仿宋"/>
                <w:color w:val="auto"/>
              </w:rPr>
            </w:pPr>
            <w:r>
              <w:rPr>
                <w:rFonts w:hint="eastAsia" w:ascii="仿宋_GB2312" w:hAnsi="华文细黑" w:eastAsia="仿宋_GB2312" w:cs="仿宋"/>
                <w:color w:val="auto"/>
              </w:rPr>
              <w:t>年度履约评价得分</w:t>
            </w:r>
          </w:p>
        </w:tc>
        <w:tc>
          <w:tcPr>
            <w:tcW w:w="7529" w:type="dxa"/>
            <w:gridSpan w:val="8"/>
            <w:vAlign w:val="center"/>
          </w:tcPr>
          <w:p w14:paraId="30F63CCC">
            <w:pPr>
              <w:jc w:val="left"/>
              <w:rPr>
                <w:rFonts w:ascii="仿宋_GB2312" w:hAnsi="华文细黑" w:eastAsia="仿宋_GB2312"/>
                <w:color w:val="auto"/>
              </w:rPr>
            </w:pPr>
            <w:r>
              <w:rPr>
                <w:rFonts w:hint="eastAsia" w:ascii="仿宋_GB2312" w:hAnsi="华文细黑" w:eastAsia="仿宋_GB2312"/>
                <w:color w:val="auto"/>
              </w:rPr>
              <w:t>日常履约评价得分70％+</w:t>
            </w:r>
            <w:r>
              <w:rPr>
                <w:rFonts w:hint="eastAsia" w:ascii="仿宋_GB2312" w:hAnsi="华文细黑" w:eastAsia="仿宋_GB2312" w:cs="仿宋"/>
                <w:color w:val="auto"/>
              </w:rPr>
              <w:t>年度第三方检查结果30%=            分</w:t>
            </w:r>
          </w:p>
        </w:tc>
      </w:tr>
      <w:tr w14:paraId="70434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00" w:type="dxa"/>
            <w:gridSpan w:val="2"/>
            <w:vAlign w:val="center"/>
          </w:tcPr>
          <w:p w14:paraId="3C6EEFEE">
            <w:pPr>
              <w:jc w:val="center"/>
              <w:rPr>
                <w:rFonts w:ascii="仿宋_GB2312" w:hAnsi="华文细黑" w:eastAsia="仿宋_GB2312" w:cs="仿宋"/>
                <w:color w:val="auto"/>
              </w:rPr>
            </w:pPr>
            <w:r>
              <w:rPr>
                <w:rFonts w:hint="eastAsia" w:ascii="仿宋_GB2312" w:hAnsi="华文细黑" w:eastAsia="仿宋_GB2312" w:cs="仿宋"/>
                <w:color w:val="auto"/>
              </w:rPr>
              <w:t>评价部门评语</w:t>
            </w:r>
          </w:p>
        </w:tc>
        <w:tc>
          <w:tcPr>
            <w:tcW w:w="7529" w:type="dxa"/>
            <w:gridSpan w:val="8"/>
            <w:vAlign w:val="center"/>
          </w:tcPr>
          <w:p w14:paraId="343E281C">
            <w:pPr>
              <w:jc w:val="left"/>
              <w:rPr>
                <w:rFonts w:ascii="仿宋_GB2312" w:hAnsi="华文细黑" w:eastAsia="仿宋_GB2312"/>
                <w:color w:val="auto"/>
              </w:rPr>
            </w:pPr>
          </w:p>
          <w:p w14:paraId="2EA59F7B">
            <w:pPr>
              <w:jc w:val="left"/>
              <w:rPr>
                <w:rFonts w:ascii="仿宋_GB2312" w:hAnsi="华文细黑" w:eastAsia="仿宋_GB2312" w:cs="仿宋"/>
                <w:color w:val="auto"/>
              </w:rPr>
            </w:pPr>
            <w:r>
              <w:rPr>
                <w:rFonts w:hint="eastAsia" w:ascii="仿宋_GB2312" w:hAnsi="华文细黑" w:eastAsia="仿宋_GB2312" w:cs="仿宋"/>
                <w:color w:val="auto"/>
              </w:rPr>
              <w:t>评价人：</w:t>
            </w:r>
          </w:p>
          <w:p w14:paraId="0581AF23">
            <w:pPr>
              <w:jc w:val="left"/>
              <w:rPr>
                <w:rFonts w:ascii="仿宋_GB2312" w:hAnsi="华文细黑" w:eastAsia="仿宋_GB2312"/>
                <w:color w:val="auto"/>
              </w:rPr>
            </w:pPr>
            <w:r>
              <w:rPr>
                <w:rFonts w:hint="eastAsia" w:ascii="仿宋_GB2312" w:hAnsi="华文细黑" w:eastAsia="仿宋_GB2312"/>
                <w:color w:val="auto"/>
              </w:rPr>
              <w:t>部门审批：</w:t>
            </w:r>
          </w:p>
        </w:tc>
      </w:tr>
      <w:tr w14:paraId="71D91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2100" w:type="dxa"/>
            <w:gridSpan w:val="2"/>
            <w:vAlign w:val="center"/>
          </w:tcPr>
          <w:p w14:paraId="02BFF8B9">
            <w:pPr>
              <w:jc w:val="center"/>
              <w:rPr>
                <w:rFonts w:ascii="仿宋_GB2312" w:hAnsi="华文细黑" w:eastAsia="仿宋_GB2312"/>
                <w:color w:val="auto"/>
              </w:rPr>
            </w:pPr>
            <w:r>
              <w:rPr>
                <w:rFonts w:hint="eastAsia" w:ascii="仿宋_GB2312" w:hAnsi="华文细黑" w:eastAsia="仿宋_GB2312"/>
                <w:color w:val="auto"/>
              </w:rPr>
              <w:t>品质部验证评估</w:t>
            </w:r>
          </w:p>
        </w:tc>
        <w:tc>
          <w:tcPr>
            <w:tcW w:w="7529" w:type="dxa"/>
            <w:gridSpan w:val="8"/>
            <w:vAlign w:val="center"/>
          </w:tcPr>
          <w:p w14:paraId="772C1815">
            <w:pPr>
              <w:tabs>
                <w:tab w:val="left" w:pos="4512"/>
              </w:tabs>
              <w:rPr>
                <w:rFonts w:ascii="仿宋_GB2312" w:hAnsi="华文细黑" w:eastAsia="仿宋_GB2312"/>
                <w:color w:val="auto"/>
              </w:rPr>
            </w:pPr>
            <w:r>
              <w:rPr>
                <w:rFonts w:hint="eastAsia" w:ascii="仿宋_GB2312" w:hAnsi="华文细黑" w:eastAsia="仿宋_GB2312"/>
                <w:color w:val="auto"/>
              </w:rPr>
              <w:t>评价意见：</w:t>
            </w:r>
          </w:p>
          <w:p w14:paraId="55E5681F">
            <w:pPr>
              <w:tabs>
                <w:tab w:val="left" w:pos="4512"/>
              </w:tabs>
              <w:ind w:firstLine="4935" w:firstLineChars="2350"/>
              <w:rPr>
                <w:rFonts w:ascii="仿宋_GB2312" w:hAnsi="华文细黑" w:eastAsia="仿宋_GB2312"/>
                <w:color w:val="auto"/>
              </w:rPr>
            </w:pPr>
            <w:r>
              <w:rPr>
                <w:rFonts w:hint="eastAsia" w:ascii="仿宋_GB2312" w:hAnsi="华文细黑" w:eastAsia="仿宋_GB2312"/>
                <w:color w:val="auto"/>
              </w:rPr>
              <w:t>部门负责人：</w:t>
            </w:r>
          </w:p>
        </w:tc>
      </w:tr>
      <w:tr w14:paraId="0962F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14:paraId="623E47C0">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非招标合作供方</w:t>
            </w:r>
          </w:p>
        </w:tc>
        <w:tc>
          <w:tcPr>
            <w:tcW w:w="1050" w:type="dxa"/>
            <w:vAlign w:val="center"/>
          </w:tcPr>
          <w:p w14:paraId="4F5A6EEC">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项目分管领导审批</w:t>
            </w:r>
          </w:p>
        </w:tc>
        <w:tc>
          <w:tcPr>
            <w:tcW w:w="7529" w:type="dxa"/>
            <w:gridSpan w:val="8"/>
            <w:vAlign w:val="center"/>
          </w:tcPr>
          <w:p w14:paraId="25E9EA5A">
            <w:pPr>
              <w:tabs>
                <w:tab w:val="left" w:pos="4512"/>
              </w:tabs>
              <w:rPr>
                <w:rFonts w:ascii="仿宋_GB2312" w:hAnsi="华文细黑" w:eastAsia="仿宋_GB2312"/>
                <w:color w:val="auto"/>
              </w:rPr>
            </w:pPr>
          </w:p>
        </w:tc>
      </w:tr>
      <w:tr w14:paraId="2BF78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14:paraId="70A99541">
            <w:pPr>
              <w:tabs>
                <w:tab w:val="left" w:pos="4512"/>
              </w:tabs>
              <w:jc w:val="center"/>
              <w:rPr>
                <w:rFonts w:ascii="仿宋_GB2312" w:hAnsi="华文细黑" w:eastAsia="仿宋_GB2312" w:cs="仿宋"/>
                <w:color w:val="auto"/>
              </w:rPr>
            </w:pPr>
            <w:r>
              <w:rPr>
                <w:rFonts w:hint="eastAsia" w:ascii="仿宋_GB2312" w:hAnsi="华文细黑" w:eastAsia="仿宋_GB2312" w:cs="仿宋"/>
                <w:color w:val="auto"/>
              </w:rPr>
              <w:t>招标中标合作供方</w:t>
            </w:r>
          </w:p>
        </w:tc>
        <w:tc>
          <w:tcPr>
            <w:tcW w:w="1050" w:type="dxa"/>
            <w:vAlign w:val="center"/>
          </w:tcPr>
          <w:p w14:paraId="0995E4B5">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招标委员会审批</w:t>
            </w:r>
          </w:p>
        </w:tc>
        <w:tc>
          <w:tcPr>
            <w:tcW w:w="7529" w:type="dxa"/>
            <w:gridSpan w:val="8"/>
            <w:vAlign w:val="center"/>
          </w:tcPr>
          <w:p w14:paraId="4746768D">
            <w:pPr>
              <w:tabs>
                <w:tab w:val="left" w:pos="4512"/>
              </w:tabs>
              <w:rPr>
                <w:rFonts w:ascii="仿宋_GB2312" w:hAnsi="华文细黑" w:eastAsia="仿宋_GB2312"/>
                <w:color w:val="auto"/>
              </w:rPr>
            </w:pPr>
          </w:p>
        </w:tc>
      </w:tr>
    </w:tbl>
    <w:p w14:paraId="5B77FF5A">
      <w:pPr>
        <w:widowControl/>
        <w:jc w:val="left"/>
        <w:rPr>
          <w:rFonts w:ascii="仿宋" w:hAnsi="仿宋" w:eastAsia="仿宋" w:cs="宋体"/>
          <w:color w:val="auto"/>
          <w:sz w:val="30"/>
          <w:szCs w:val="30"/>
        </w:rPr>
      </w:pPr>
      <w:r>
        <w:rPr>
          <w:rFonts w:ascii="仿宋" w:hAnsi="仿宋" w:eastAsia="仿宋" w:cs="宋体"/>
          <w:color w:val="auto"/>
          <w:sz w:val="30"/>
          <w:szCs w:val="30"/>
        </w:rPr>
        <w:br w:type="page"/>
      </w:r>
    </w:p>
    <w:p w14:paraId="202D464B">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附件八：公司合作方廉洁协议</w:t>
      </w:r>
    </w:p>
    <w:p w14:paraId="340E2CCA">
      <w:pPr>
        <w:snapToGrid w:val="0"/>
        <w:spacing w:before="240" w:after="240" w:line="520" w:lineRule="exact"/>
        <w:jc w:val="center"/>
        <w:rPr>
          <w:rFonts w:ascii="仿宋" w:hAnsi="仿宋" w:eastAsia="仿宋"/>
          <w:color w:val="auto"/>
          <w:sz w:val="30"/>
          <w:szCs w:val="30"/>
        </w:rPr>
      </w:pPr>
      <w:r>
        <w:rPr>
          <w:rFonts w:hint="eastAsia" w:ascii="仿宋" w:hAnsi="仿宋" w:eastAsia="仿宋"/>
          <w:color w:val="auto"/>
          <w:sz w:val="30"/>
          <w:szCs w:val="30"/>
        </w:rPr>
        <w:t>公司合作方廉洁协议</w:t>
      </w:r>
    </w:p>
    <w:p w14:paraId="5B527F4A">
      <w:pPr>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甲方：广西中马钦州产业园区开发有限公司 </w:t>
      </w:r>
    </w:p>
    <w:p w14:paraId="05614F52">
      <w:pPr>
        <w:spacing w:line="600" w:lineRule="auto"/>
        <w:ind w:firstLine="600" w:firstLineChars="200"/>
        <w:rPr>
          <w:rFonts w:ascii="仿宋" w:hAnsi="仿宋" w:eastAsia="仿宋"/>
          <w:color w:val="auto"/>
          <w:sz w:val="30"/>
          <w:szCs w:val="30"/>
        </w:rPr>
      </w:pPr>
      <w:r>
        <w:rPr>
          <w:rFonts w:hint="eastAsia" w:ascii="仿宋" w:hAnsi="仿宋" w:eastAsia="仿宋"/>
          <w:color w:val="auto"/>
          <w:sz w:val="30"/>
          <w:szCs w:val="30"/>
        </w:rPr>
        <w:t>乙方：</w:t>
      </w:r>
    </w:p>
    <w:p w14:paraId="3AE459B8">
      <w:pPr>
        <w:spacing w:line="520" w:lineRule="exact"/>
        <w:ind w:firstLine="560"/>
        <w:rPr>
          <w:rFonts w:ascii="仿宋" w:hAnsi="仿宋" w:eastAsia="仿宋"/>
          <w:color w:val="auto"/>
          <w:sz w:val="30"/>
          <w:szCs w:val="30"/>
        </w:rPr>
      </w:pPr>
      <w:r>
        <w:rPr>
          <w:rFonts w:hint="eastAsia" w:ascii="仿宋" w:hAnsi="仿宋" w:eastAsia="仿宋"/>
          <w:color w:val="auto"/>
          <w:sz w:val="30"/>
          <w:szCs w:val="30"/>
        </w:rPr>
        <w:t>甲方指广西中马钦州产业园区开发有限公司以及其控股的各下属公司；乙方指参与甲方服务招标活动的投标单位、议标单位、中标单位、合同履约单位等。参与招投标活动和合同执行过程中双方的参与人、执行人等都被视为双方的表见代理人，表见代理人的行为也受本协议的约束。</w:t>
      </w:r>
    </w:p>
    <w:p w14:paraId="2063D8C3">
      <w:pPr>
        <w:spacing w:line="520" w:lineRule="exact"/>
        <w:ind w:firstLine="560"/>
        <w:rPr>
          <w:rFonts w:ascii="仿宋" w:hAnsi="仿宋" w:eastAsia="仿宋"/>
          <w:color w:val="auto"/>
          <w:sz w:val="30"/>
          <w:szCs w:val="30"/>
        </w:rPr>
      </w:pPr>
      <w:r>
        <w:rPr>
          <w:rFonts w:hint="eastAsia" w:ascii="仿宋" w:hAnsi="仿宋" w:eastAsia="仿宋"/>
          <w:color w:val="auto"/>
          <w:sz w:val="30"/>
          <w:szCs w:val="30"/>
        </w:rPr>
        <w:t>“简单、坦诚、阳光”是甲方的企业文化，甲方与乙方之间是简单、双赢的企业合作关系，不存在任何个人利益动机。甲乙双方约定在招投标及履约、结算过程中遵守以下廉洁约定。</w:t>
      </w:r>
    </w:p>
    <w:p w14:paraId="782B80B7">
      <w:pPr>
        <w:tabs>
          <w:tab w:val="left" w:pos="720"/>
        </w:tabs>
        <w:spacing w:before="240"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一、甲方廉洁要求和廉洁主张</w:t>
      </w:r>
    </w:p>
    <w:p w14:paraId="6BE8A6A8">
      <w:pPr>
        <w:ind w:firstLine="576" w:firstLineChars="192"/>
        <w:rPr>
          <w:rFonts w:ascii="仿宋" w:hAnsi="仿宋" w:eastAsia="仿宋"/>
          <w:color w:val="auto"/>
          <w:sz w:val="30"/>
          <w:szCs w:val="30"/>
        </w:rPr>
      </w:pPr>
      <w:r>
        <w:rPr>
          <w:rFonts w:hint="eastAsia" w:ascii="仿宋" w:hAnsi="仿宋" w:eastAsia="仿宋"/>
          <w:color w:val="auto"/>
          <w:sz w:val="30"/>
          <w:szCs w:val="30"/>
        </w:rPr>
        <w:t>甲方在招标、议标、中标、合同签订、合同履约、合同付款、合同结算等过程中，要遵守以下廉洁约定：</w:t>
      </w:r>
    </w:p>
    <w:p w14:paraId="65C14FFF">
      <w:pPr>
        <w:tabs>
          <w:tab w:val="left" w:pos="0"/>
        </w:tabs>
        <w:ind w:firstLine="600" w:firstLineChars="200"/>
        <w:rPr>
          <w:rFonts w:ascii="仿宋" w:hAnsi="仿宋" w:eastAsia="仿宋"/>
          <w:color w:val="auto"/>
          <w:sz w:val="30"/>
          <w:szCs w:val="30"/>
        </w:rPr>
      </w:pPr>
      <w:r>
        <w:rPr>
          <w:rFonts w:hint="eastAsia" w:ascii="仿宋" w:hAnsi="仿宋" w:eastAsia="仿宋"/>
          <w:color w:val="auto"/>
          <w:sz w:val="30"/>
          <w:szCs w:val="30"/>
        </w:rPr>
        <w:t>1、甲方要求参与以上活动的本公司员工廉洁自律，不得在以上活动中谋取私利，要求员工遵守《广西中马钦州产业园区开发有限公司廉洁从业准则》，不得向乙方索要任何形式的个人利益；</w:t>
      </w:r>
    </w:p>
    <w:p w14:paraId="4D3BF643">
      <w:pPr>
        <w:tabs>
          <w:tab w:val="left" w:pos="0"/>
        </w:tabs>
        <w:ind w:firstLine="600" w:firstLineChars="200"/>
        <w:rPr>
          <w:rFonts w:ascii="仿宋" w:hAnsi="仿宋" w:eastAsia="仿宋"/>
          <w:color w:val="auto"/>
          <w:sz w:val="30"/>
          <w:szCs w:val="30"/>
        </w:rPr>
      </w:pPr>
      <w:r>
        <w:rPr>
          <w:rFonts w:hint="eastAsia" w:ascii="仿宋" w:hAnsi="仿宋" w:eastAsia="仿宋"/>
          <w:color w:val="auto"/>
          <w:sz w:val="30"/>
          <w:szCs w:val="30"/>
        </w:rPr>
        <w:t>2、甲方要求参与以上活动的本公司员工主动申报与乙方的关联关系，如存在亲属关系等；</w:t>
      </w:r>
    </w:p>
    <w:p w14:paraId="1AF2D791">
      <w:pPr>
        <w:tabs>
          <w:tab w:val="left" w:pos="0"/>
        </w:tabs>
        <w:ind w:left="420" w:leftChars="200" w:firstLine="300" w:firstLineChars="100"/>
        <w:rPr>
          <w:rFonts w:ascii="仿宋" w:hAnsi="仿宋" w:eastAsia="仿宋"/>
          <w:color w:val="auto"/>
          <w:sz w:val="30"/>
          <w:szCs w:val="30"/>
        </w:rPr>
      </w:pPr>
      <w:r>
        <w:rPr>
          <w:rFonts w:hint="eastAsia" w:ascii="仿宋" w:hAnsi="仿宋" w:eastAsia="仿宋"/>
          <w:color w:val="auto"/>
          <w:sz w:val="30"/>
          <w:szCs w:val="30"/>
        </w:rPr>
        <w:t>3、甲方在资格预审、入围名单、招标文件编制、评议标、定标等招标过程中，只会考虑乙方的公司实力，对品质、工期、成本、安全的控制能力，对招标项目的重视程度，项目团队的人员配置、技术文件、对招标文件的响应程度、商务报价的合理性、报价特别优惠条款等因素，任何重要的流程环节，均由甲方的招标委员会集体决策，不会因为任何人的个人利益因素而对乙方有特别的照顾和优惠；</w:t>
      </w:r>
    </w:p>
    <w:p w14:paraId="5EF59134">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4、乙方一旦中标，成为甲方的合同履约人，在合同签订、合同执行、履约评级、变更签证确认、合同结算等过程中，甲方将严格按合同约定执行，不会因为任何人的个人利益因素而降低合同标准、增加费用、抬高结算金额等；</w:t>
      </w:r>
    </w:p>
    <w:p w14:paraId="6ED4BBF0">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5、乙方廉洁要求中要求乙方不得为之的行为，同样适合要求甲方不能主动索要；</w:t>
      </w:r>
    </w:p>
    <w:p w14:paraId="57B9F453">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6、发现乙方员工有行贿行为的，甲方应坚决拒绝，并会向乙方领导反馈，根据情况严重性，甲方给予乙方合作供应商名册降级、列入黑名单、或解除合同的处罚；</w:t>
      </w:r>
    </w:p>
    <w:p w14:paraId="10708CD2">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7、对甲方人员违约时，欢迎乙方进行投诉，并对乙方投诉人及投诉内容（举报人、陈述人、证人等）高度保密，甲方在接到投诉后的6个工作日内将给乙方反馈；</w:t>
      </w:r>
    </w:p>
    <w:p w14:paraId="447881AF">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8、对于长期支持和敢于揭露甲方有廉洁违规行为的乙方，甲方优先考虑合作机会。</w:t>
      </w:r>
    </w:p>
    <w:p w14:paraId="378A7D85">
      <w:pPr>
        <w:tabs>
          <w:tab w:val="left" w:pos="720"/>
        </w:tabs>
        <w:spacing w:before="240" w:line="520" w:lineRule="exact"/>
        <w:ind w:firstLine="900" w:firstLineChars="300"/>
        <w:rPr>
          <w:rFonts w:ascii="仿宋" w:hAnsi="仿宋" w:eastAsia="仿宋"/>
          <w:color w:val="auto"/>
          <w:sz w:val="30"/>
          <w:szCs w:val="30"/>
        </w:rPr>
      </w:pPr>
      <w:r>
        <w:rPr>
          <w:rFonts w:hint="eastAsia" w:ascii="仿宋" w:hAnsi="仿宋" w:eastAsia="仿宋"/>
          <w:color w:val="auto"/>
          <w:sz w:val="30"/>
          <w:szCs w:val="30"/>
        </w:rPr>
        <w:t>二、乙方廉洁要求</w:t>
      </w:r>
    </w:p>
    <w:p w14:paraId="3AB4C734">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1、乙方有义务监督甲方员工廉洁从业，对违反者，有向甲方反馈和举报的义务和权利；</w:t>
      </w:r>
    </w:p>
    <w:p w14:paraId="6AEB9580">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2、乙方主动如实向广西中马钦州产业园区开发有限公司 通报是否与广西中马钦州产业园区开发有限公司员工存在亲属关系，是否有广西中马钦州产业园区开发有限公司离职员工担任重要岗位；</w:t>
      </w:r>
    </w:p>
    <w:p w14:paraId="740427CF">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3、不得与广西中马钦州产业园区开发有限公司员工就标底、其他单位的投标书等商业秘密及合同中的质量、价格、服务量、验收等条款进行私下商谈或者达成默契；</w:t>
      </w:r>
    </w:p>
    <w:p w14:paraId="4CE0C4B0">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4、不得与其他单位串通投标，不得采取恶性竞争等不正当手段竞争业务；</w:t>
      </w:r>
    </w:p>
    <w:p w14:paraId="1F9D22E6">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5、乙方不得向甲方员工及其亲属或其请托人、代理人提供好处费、回扣、现金及有价证券、支付凭证、贵重礼物等；</w:t>
      </w:r>
    </w:p>
    <w:p w14:paraId="4D945ADB">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6、乙方不得向甲方员工及其亲属提供可能影响其公正履行职务行为的宴请和娱乐、体育、休闲、旅游活动；</w:t>
      </w:r>
    </w:p>
    <w:p w14:paraId="50D3AC5C">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7、乙方不得给甲方员工及其亲属报销任何费用；</w:t>
      </w:r>
    </w:p>
    <w:p w14:paraId="22FFAEF0">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8、乙方不得向甲方员工及其亲属提供任何住房、交通工具、通讯工具、家电、高档办公用品等物品；</w:t>
      </w:r>
    </w:p>
    <w:p w14:paraId="170B6A40">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9、乙方不得向甲方员工及其亲属提供家庭装修、婚丧嫁娶、工作安排、出国、留学、服务分包、物资供应等行为提供资金及物资的资助；</w:t>
      </w:r>
    </w:p>
    <w:p w14:paraId="530E042C">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10、乙方应当确保乙方人员了解并自觉遵守本准则，发现乙方任何人员有向甲方员工行贿倾向、建议或行为的，应予制止、批评教育。乙方发现甲方员工有索贿、受贿行为的，应坚决拒绝，并向甲方领导或审计部门举报；</w:t>
      </w:r>
    </w:p>
    <w:p w14:paraId="0003203D">
      <w:pPr>
        <w:tabs>
          <w:tab w:val="left" w:pos="0"/>
        </w:tabs>
        <w:ind w:firstLine="600" w:firstLineChars="200"/>
        <w:rPr>
          <w:rFonts w:ascii="仿宋" w:hAnsi="仿宋" w:eastAsia="仿宋"/>
          <w:color w:val="auto"/>
          <w:sz w:val="30"/>
          <w:szCs w:val="30"/>
        </w:rPr>
      </w:pPr>
      <w:r>
        <w:rPr>
          <w:rFonts w:hint="eastAsia" w:ascii="仿宋" w:hAnsi="仿宋" w:eastAsia="仿宋"/>
          <w:color w:val="auto"/>
          <w:sz w:val="30"/>
          <w:szCs w:val="30"/>
        </w:rPr>
        <w:t>11、乙方向甲方员工及其亲属行贿，被查出属实的，将被列入甲方的黑名单，乙方负责赔偿因此给甲方造成的经济损失，并以后再次合作将受到限制。</w:t>
      </w:r>
    </w:p>
    <w:p w14:paraId="3B2D2168">
      <w:pPr>
        <w:tabs>
          <w:tab w:val="left" w:pos="720"/>
        </w:tabs>
        <w:spacing w:before="240" w:line="520" w:lineRule="exact"/>
        <w:ind w:firstLine="600" w:firstLineChars="200"/>
        <w:rPr>
          <w:rFonts w:ascii="仿宋" w:hAnsi="仿宋" w:eastAsia="仿宋"/>
          <w:b/>
          <w:color w:val="auto"/>
          <w:sz w:val="30"/>
          <w:szCs w:val="30"/>
        </w:rPr>
      </w:pPr>
      <w:r>
        <w:rPr>
          <w:rFonts w:hint="eastAsia" w:ascii="仿宋" w:hAnsi="仿宋" w:eastAsia="仿宋"/>
          <w:color w:val="auto"/>
          <w:sz w:val="30"/>
          <w:szCs w:val="30"/>
        </w:rPr>
        <w:t>三、投诉及举报管理</w:t>
      </w:r>
    </w:p>
    <w:p w14:paraId="1424DAAB">
      <w:pPr>
        <w:spacing w:line="480" w:lineRule="auto"/>
        <w:ind w:firstLine="600" w:firstLineChars="200"/>
        <w:rPr>
          <w:rFonts w:ascii="仿宋" w:hAnsi="仿宋" w:eastAsia="仿宋"/>
          <w:color w:val="auto"/>
          <w:sz w:val="30"/>
          <w:szCs w:val="30"/>
        </w:rPr>
      </w:pPr>
      <w:r>
        <w:rPr>
          <w:rFonts w:hint="eastAsia" w:ascii="仿宋" w:hAnsi="仿宋" w:eastAsia="仿宋"/>
          <w:color w:val="auto"/>
          <w:sz w:val="30"/>
          <w:szCs w:val="30"/>
        </w:rPr>
        <w:t>1、甲方投诉及举报管理：</w:t>
      </w:r>
    </w:p>
    <w:p w14:paraId="7B240438">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甲方设投诉及举报管理：广西中马钦州产业园区开发有限公司</w:t>
      </w:r>
    </w:p>
    <w:p w14:paraId="1277753C">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乙方设投诉及举报管理部门为：人事与行政部</w:t>
      </w:r>
    </w:p>
    <w:p w14:paraId="115436C9">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固定电话：</w:t>
      </w:r>
      <w:r>
        <w:rPr>
          <w:rFonts w:ascii="仿宋" w:hAnsi="仿宋" w:eastAsia="仿宋"/>
          <w:color w:val="auto"/>
          <w:sz w:val="30"/>
          <w:szCs w:val="30"/>
        </w:rPr>
        <w:t>0777-5988988</w:t>
      </w:r>
    </w:p>
    <w:p w14:paraId="13E76888">
      <w:pPr>
        <w:spacing w:line="480" w:lineRule="auto"/>
        <w:ind w:firstLine="600" w:firstLineChars="200"/>
        <w:rPr>
          <w:rFonts w:ascii="仿宋" w:hAnsi="仿宋" w:eastAsia="仿宋"/>
          <w:color w:val="auto"/>
          <w:sz w:val="30"/>
          <w:szCs w:val="30"/>
        </w:rPr>
      </w:pPr>
      <w:r>
        <w:rPr>
          <w:rFonts w:hint="eastAsia" w:ascii="仿宋" w:hAnsi="仿宋" w:eastAsia="仿宋"/>
          <w:color w:val="auto"/>
          <w:sz w:val="30"/>
          <w:szCs w:val="30"/>
        </w:rPr>
        <w:t>2、乙方投诉及举报管理：</w:t>
      </w:r>
    </w:p>
    <w:p w14:paraId="0CBAE622">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乙方设投诉及举报管理部门为：</w:t>
      </w:r>
    </w:p>
    <w:p w14:paraId="50A9FC00">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邮箱：</w:t>
      </w:r>
    </w:p>
    <w:p w14:paraId="470FD401">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电话：</w:t>
      </w:r>
    </w:p>
    <w:p w14:paraId="3354E92F">
      <w:pPr>
        <w:spacing w:line="520" w:lineRule="exact"/>
        <w:rPr>
          <w:rFonts w:ascii="仿宋" w:hAnsi="仿宋" w:eastAsia="仿宋"/>
          <w:color w:val="auto"/>
          <w:sz w:val="30"/>
          <w:szCs w:val="30"/>
        </w:rPr>
      </w:pPr>
    </w:p>
    <w:p w14:paraId="262E02B3">
      <w:pPr>
        <w:spacing w:line="720" w:lineRule="auto"/>
        <w:rPr>
          <w:rFonts w:ascii="仿宋" w:hAnsi="仿宋" w:eastAsia="仿宋"/>
          <w:color w:val="auto"/>
          <w:sz w:val="30"/>
          <w:szCs w:val="30"/>
        </w:rPr>
      </w:pPr>
      <w:r>
        <w:rPr>
          <w:rFonts w:hint="eastAsia" w:ascii="仿宋" w:hAnsi="仿宋" w:eastAsia="仿宋"/>
          <w:color w:val="auto"/>
          <w:sz w:val="30"/>
          <w:szCs w:val="30"/>
        </w:rPr>
        <w:t>甲方：（盖章）                       乙方：（盖章）</w:t>
      </w:r>
    </w:p>
    <w:p w14:paraId="00CC49B2">
      <w:pPr>
        <w:spacing w:line="720" w:lineRule="auto"/>
        <w:rPr>
          <w:rFonts w:ascii="仿宋" w:hAnsi="仿宋" w:eastAsia="仿宋"/>
          <w:color w:val="auto"/>
          <w:sz w:val="30"/>
          <w:szCs w:val="30"/>
        </w:rPr>
      </w:pPr>
      <w:r>
        <w:rPr>
          <w:rFonts w:hint="eastAsia" w:ascii="仿宋" w:hAnsi="仿宋" w:eastAsia="仿宋"/>
          <w:color w:val="auto"/>
          <w:sz w:val="30"/>
          <w:szCs w:val="30"/>
        </w:rPr>
        <w:t>负责人或授权委托人：            法定代表人或授权委托人：日期：                              日期：</w:t>
      </w:r>
    </w:p>
    <w:p w14:paraId="7D4BD95F">
      <w:pPr>
        <w:spacing w:line="520" w:lineRule="exact"/>
        <w:ind w:firstLine="560"/>
        <w:rPr>
          <w:rFonts w:ascii="仿宋" w:hAnsi="仿宋" w:eastAsia="仿宋"/>
          <w:color w:val="auto"/>
          <w:sz w:val="30"/>
          <w:szCs w:val="30"/>
        </w:rPr>
      </w:pPr>
      <w:r>
        <w:rPr>
          <w:rFonts w:hint="eastAsia" w:ascii="仿宋" w:hAnsi="仿宋" w:eastAsia="仿宋"/>
          <w:color w:val="auto"/>
          <w:sz w:val="30"/>
          <w:szCs w:val="30"/>
        </w:rPr>
        <w:br w:type="page"/>
      </w:r>
    </w:p>
    <w:p w14:paraId="2E6AFF03">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附件九：阳光宣言</w:t>
      </w:r>
    </w:p>
    <w:p w14:paraId="1EDD984C">
      <w:pPr>
        <w:autoSpaceDE w:val="0"/>
        <w:autoSpaceDN w:val="0"/>
        <w:adjustRightInd w:val="0"/>
        <w:spacing w:before="312" w:beforeLines="100" w:after="312" w:afterLines="100" w:line="520" w:lineRule="exact"/>
        <w:jc w:val="center"/>
        <w:rPr>
          <w:rFonts w:ascii="仿宋" w:hAnsi="仿宋" w:eastAsia="仿宋" w:cs="仿宋"/>
          <w:color w:val="auto"/>
          <w:sz w:val="30"/>
          <w:szCs w:val="30"/>
        </w:rPr>
      </w:pPr>
      <w:r>
        <w:rPr>
          <w:rFonts w:hint="eastAsia" w:ascii="仿宋" w:hAnsi="仿宋" w:eastAsia="仿宋" w:cs="仿宋"/>
          <w:color w:val="auto"/>
          <w:sz w:val="30"/>
          <w:szCs w:val="30"/>
        </w:rPr>
        <w:t>阳 光 宣 言</w:t>
      </w:r>
    </w:p>
    <w:p w14:paraId="2B0BF870">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为了发扬</w:t>
      </w:r>
      <w:r>
        <w:rPr>
          <w:rFonts w:hint="eastAsia" w:ascii="仿宋" w:hAnsi="仿宋" w:eastAsia="仿宋"/>
          <w:color w:val="auto"/>
          <w:sz w:val="30"/>
          <w:szCs w:val="30"/>
        </w:rPr>
        <w:t>合资</w:t>
      </w:r>
      <w:r>
        <w:rPr>
          <w:rFonts w:ascii="仿宋" w:hAnsi="仿宋" w:eastAsia="仿宋"/>
          <w:color w:val="auto"/>
          <w:sz w:val="30"/>
          <w:szCs w:val="30"/>
        </w:rPr>
        <w:t>公司“诚实守信”的企业文化，奉行“公开、公正、公平”的交易原则，推动与合作伙伴建立简单、 双赢的合作关系， 避免任何个人利益因素干扰，广西中马钦州产业园区开发有限公司倡导与合作伙伴共同遵守以下行为准则：</w:t>
      </w:r>
    </w:p>
    <w:p w14:paraId="558E0C67">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1.不以向</w:t>
      </w:r>
      <w:r>
        <w:rPr>
          <w:rFonts w:hint="eastAsia" w:ascii="仿宋" w:hAnsi="仿宋" w:eastAsia="仿宋"/>
          <w:color w:val="auto"/>
          <w:sz w:val="30"/>
          <w:szCs w:val="30"/>
        </w:rPr>
        <w:t>合资</w:t>
      </w:r>
      <w:r>
        <w:rPr>
          <w:rFonts w:ascii="仿宋" w:hAnsi="仿宋" w:eastAsia="仿宋"/>
          <w:color w:val="auto"/>
          <w:sz w:val="30"/>
          <w:szCs w:val="30"/>
        </w:rPr>
        <w:t>公司员工及其亲属或其他特定关系人提供任何个人利益的方式谋求与广西中马钦州产业园区开发有限公司 的合作关系；</w:t>
      </w:r>
    </w:p>
    <w:p w14:paraId="7C8C8E58">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2.不轻信任何实际存在的或虚构的所谓关系，并主动如实向</w:t>
      </w:r>
      <w:r>
        <w:rPr>
          <w:rFonts w:hint="eastAsia" w:ascii="仿宋" w:hAnsi="仿宋" w:eastAsia="仿宋"/>
          <w:color w:val="auto"/>
          <w:sz w:val="30"/>
          <w:szCs w:val="30"/>
        </w:rPr>
        <w:t>合资</w:t>
      </w:r>
      <w:r>
        <w:rPr>
          <w:rFonts w:ascii="仿宋" w:hAnsi="仿宋" w:eastAsia="仿宋"/>
          <w:color w:val="auto"/>
          <w:sz w:val="30"/>
          <w:szCs w:val="30"/>
        </w:rPr>
        <w:t>公司通报本单位是否有股东或内部员工与</w:t>
      </w:r>
      <w:r>
        <w:rPr>
          <w:rFonts w:hint="eastAsia" w:ascii="仿宋" w:hAnsi="仿宋" w:eastAsia="仿宋"/>
          <w:color w:val="auto"/>
          <w:sz w:val="30"/>
          <w:szCs w:val="30"/>
        </w:rPr>
        <w:t>合资</w:t>
      </w:r>
      <w:r>
        <w:rPr>
          <w:rFonts w:ascii="仿宋" w:hAnsi="仿宋" w:eastAsia="仿宋"/>
          <w:color w:val="auto"/>
          <w:sz w:val="30"/>
          <w:szCs w:val="30"/>
        </w:rPr>
        <w:t>公司员工存在亲属关系，是否有</w:t>
      </w:r>
      <w:r>
        <w:rPr>
          <w:rFonts w:hint="eastAsia" w:ascii="仿宋" w:hAnsi="仿宋" w:eastAsia="仿宋"/>
          <w:color w:val="auto"/>
          <w:sz w:val="30"/>
          <w:szCs w:val="30"/>
        </w:rPr>
        <w:t>合资</w:t>
      </w:r>
      <w:r>
        <w:rPr>
          <w:rFonts w:ascii="仿宋" w:hAnsi="仿宋" w:eastAsia="仿宋"/>
          <w:color w:val="auto"/>
          <w:sz w:val="30"/>
          <w:szCs w:val="30"/>
        </w:rPr>
        <w:t xml:space="preserve">公司离职员工在本单位重要岗位任职； </w:t>
      </w:r>
    </w:p>
    <w:p w14:paraId="446C1A0C">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3.不与</w:t>
      </w:r>
      <w:r>
        <w:rPr>
          <w:rFonts w:hint="eastAsia" w:ascii="仿宋" w:hAnsi="仿宋" w:eastAsia="仿宋"/>
          <w:color w:val="auto"/>
          <w:sz w:val="30"/>
          <w:szCs w:val="30"/>
        </w:rPr>
        <w:t>合资</w:t>
      </w:r>
      <w:r>
        <w:rPr>
          <w:rFonts w:ascii="仿宋" w:hAnsi="仿宋" w:eastAsia="仿宋"/>
          <w:color w:val="auto"/>
          <w:sz w:val="30"/>
          <w:szCs w:val="30"/>
        </w:rPr>
        <w:t xml:space="preserve">公司员工就标底、其他单位的投标书等商业秘密及合同中的业务条款进行私下商谈或者达成默契； </w:t>
      </w:r>
    </w:p>
    <w:p w14:paraId="2859FA52">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 xml:space="preserve">4.不与其他单位串通投标，不采取恶性竞争等不正当手段竞争业务； </w:t>
      </w:r>
    </w:p>
    <w:p w14:paraId="63B71440">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5.不在与</w:t>
      </w:r>
      <w:r>
        <w:rPr>
          <w:rFonts w:hint="eastAsia" w:ascii="仿宋" w:hAnsi="仿宋" w:eastAsia="仿宋"/>
          <w:color w:val="auto"/>
          <w:sz w:val="30"/>
          <w:szCs w:val="30"/>
        </w:rPr>
        <w:t>合资</w:t>
      </w:r>
      <w:r>
        <w:rPr>
          <w:rFonts w:ascii="仿宋" w:hAnsi="仿宋" w:eastAsia="仿宋"/>
          <w:color w:val="auto"/>
          <w:sz w:val="30"/>
          <w:szCs w:val="30"/>
        </w:rPr>
        <w:t>公司合作中弄虚作假、虚报或谎报工程量；</w:t>
      </w:r>
    </w:p>
    <w:p w14:paraId="2FE76487">
      <w:pPr>
        <w:spacing w:line="520" w:lineRule="exact"/>
        <w:jc w:val="left"/>
        <w:rPr>
          <w:rFonts w:ascii="仿宋" w:hAnsi="仿宋" w:eastAsia="仿宋"/>
          <w:color w:val="auto"/>
          <w:sz w:val="30"/>
          <w:szCs w:val="30"/>
        </w:rPr>
      </w:pPr>
      <w:r>
        <w:rPr>
          <w:rFonts w:ascii="仿宋" w:hAnsi="仿宋" w:eastAsia="仿宋"/>
          <w:color w:val="auto"/>
          <w:sz w:val="30"/>
          <w:szCs w:val="30"/>
        </w:rPr>
        <w:t xml:space="preserve">    6.不向</w:t>
      </w:r>
      <w:r>
        <w:rPr>
          <w:rFonts w:hint="eastAsia" w:ascii="仿宋" w:hAnsi="仿宋" w:eastAsia="仿宋"/>
          <w:color w:val="auto"/>
          <w:sz w:val="30"/>
          <w:szCs w:val="30"/>
        </w:rPr>
        <w:t>合资</w:t>
      </w:r>
      <w:r>
        <w:rPr>
          <w:rFonts w:ascii="仿宋" w:hAnsi="仿宋" w:eastAsia="仿宋"/>
          <w:color w:val="auto"/>
          <w:sz w:val="30"/>
          <w:szCs w:val="30"/>
        </w:rPr>
        <w:t xml:space="preserve">公司员工或其请托人、代理人提供好处费、回扣、现金及有价证券、支付凭证、贵重礼物； </w:t>
      </w:r>
    </w:p>
    <w:p w14:paraId="31D72130">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7.不向</w:t>
      </w:r>
      <w:r>
        <w:rPr>
          <w:rFonts w:hint="eastAsia" w:ascii="仿宋" w:hAnsi="仿宋" w:eastAsia="仿宋"/>
          <w:color w:val="auto"/>
          <w:sz w:val="30"/>
          <w:szCs w:val="30"/>
        </w:rPr>
        <w:t>合资</w:t>
      </w:r>
      <w:r>
        <w:rPr>
          <w:rFonts w:ascii="仿宋" w:hAnsi="仿宋" w:eastAsia="仿宋"/>
          <w:color w:val="auto"/>
          <w:sz w:val="30"/>
          <w:szCs w:val="30"/>
        </w:rPr>
        <w:t xml:space="preserve">公司员工及其亲属或其他特定关系人提供可能影响其公正履行职务行为的宴请和娱乐、体育、休闲、旅游活动； </w:t>
      </w:r>
    </w:p>
    <w:p w14:paraId="41FBD6F0">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8.不给</w:t>
      </w:r>
      <w:r>
        <w:rPr>
          <w:rFonts w:hint="eastAsia" w:ascii="仿宋" w:hAnsi="仿宋" w:eastAsia="仿宋"/>
          <w:color w:val="auto"/>
          <w:sz w:val="30"/>
          <w:szCs w:val="30"/>
        </w:rPr>
        <w:t>合资</w:t>
      </w:r>
      <w:r>
        <w:rPr>
          <w:rFonts w:ascii="仿宋" w:hAnsi="仿宋" w:eastAsia="仿宋"/>
          <w:color w:val="auto"/>
          <w:sz w:val="30"/>
          <w:szCs w:val="30"/>
        </w:rPr>
        <w:t>公司员工及其亲属或其他特定关系人报销任何费用；</w:t>
      </w:r>
    </w:p>
    <w:p w14:paraId="42C8D94A">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9.不向</w:t>
      </w:r>
      <w:r>
        <w:rPr>
          <w:rFonts w:hint="eastAsia" w:ascii="仿宋" w:hAnsi="仿宋" w:eastAsia="仿宋"/>
          <w:color w:val="auto"/>
          <w:sz w:val="30"/>
          <w:szCs w:val="30"/>
        </w:rPr>
        <w:t>合资</w:t>
      </w:r>
      <w:r>
        <w:rPr>
          <w:rFonts w:ascii="仿宋" w:hAnsi="仿宋" w:eastAsia="仿宋"/>
          <w:color w:val="auto"/>
          <w:sz w:val="30"/>
          <w:szCs w:val="30"/>
        </w:rPr>
        <w:t xml:space="preserve">公司员工及其亲属或其他特定关系人提供住房、交通工具、通讯工具、家电、高档办公用品等物品； </w:t>
      </w:r>
    </w:p>
    <w:p w14:paraId="4153B778">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10.不向</w:t>
      </w:r>
      <w:r>
        <w:rPr>
          <w:rFonts w:hint="eastAsia" w:ascii="仿宋" w:hAnsi="仿宋" w:eastAsia="仿宋"/>
          <w:color w:val="auto"/>
          <w:sz w:val="30"/>
          <w:szCs w:val="30"/>
        </w:rPr>
        <w:t>合资</w:t>
      </w:r>
      <w:r>
        <w:rPr>
          <w:rFonts w:ascii="仿宋" w:hAnsi="仿宋" w:eastAsia="仿宋"/>
          <w:color w:val="auto"/>
          <w:sz w:val="30"/>
          <w:szCs w:val="30"/>
        </w:rPr>
        <w:t xml:space="preserve">公司员工及其亲属或其他特定关系人的家庭装修、婚丧嫁娶、工作安排、出国、留学等提供资金或物资资助； </w:t>
      </w:r>
    </w:p>
    <w:p w14:paraId="212CCCA0">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11.发现本单位人员有向</w:t>
      </w:r>
      <w:r>
        <w:rPr>
          <w:rFonts w:hint="eastAsia" w:ascii="仿宋" w:hAnsi="仿宋" w:eastAsia="仿宋"/>
          <w:color w:val="auto"/>
          <w:sz w:val="30"/>
          <w:szCs w:val="30"/>
        </w:rPr>
        <w:t>合资</w:t>
      </w:r>
      <w:r>
        <w:rPr>
          <w:rFonts w:ascii="仿宋" w:hAnsi="仿宋" w:eastAsia="仿宋"/>
          <w:color w:val="auto"/>
          <w:sz w:val="30"/>
          <w:szCs w:val="30"/>
        </w:rPr>
        <w:t>公司员工行贿倾向、建议或行为的，应立即予以制止、严肃处理；发现</w:t>
      </w:r>
      <w:r>
        <w:rPr>
          <w:rFonts w:hint="eastAsia" w:ascii="仿宋" w:hAnsi="仿宋" w:eastAsia="仿宋"/>
          <w:color w:val="auto"/>
          <w:sz w:val="30"/>
          <w:szCs w:val="30"/>
        </w:rPr>
        <w:t>合资</w:t>
      </w:r>
      <w:r>
        <w:rPr>
          <w:rFonts w:ascii="仿宋" w:hAnsi="仿宋" w:eastAsia="仿宋"/>
          <w:color w:val="auto"/>
          <w:sz w:val="30"/>
          <w:szCs w:val="30"/>
        </w:rPr>
        <w:t>公司员工及其亲属或其他特定关系人有索贿、受贿行为的，应坚决拒绝，并及时向</w:t>
      </w:r>
      <w:r>
        <w:rPr>
          <w:rFonts w:hint="eastAsia" w:ascii="仿宋" w:hAnsi="仿宋" w:eastAsia="仿宋"/>
          <w:color w:val="auto"/>
          <w:sz w:val="30"/>
          <w:szCs w:val="30"/>
        </w:rPr>
        <w:t>合资公司</w:t>
      </w:r>
      <w:r>
        <w:rPr>
          <w:rFonts w:ascii="仿宋" w:hAnsi="仿宋" w:eastAsia="仿宋"/>
          <w:color w:val="auto"/>
          <w:sz w:val="30"/>
          <w:szCs w:val="30"/>
        </w:rPr>
        <w:t xml:space="preserve">领导或纪检监察部举报； </w:t>
      </w:r>
    </w:p>
    <w:p w14:paraId="7709AD0E">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12.如出现违反宣言的行为，经核查属实的， 将追究有关单位和人员责任， 双方再次合作将受到限制。</w:t>
      </w:r>
    </w:p>
    <w:p w14:paraId="2BFBC01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合资</w:t>
      </w:r>
      <w:r>
        <w:rPr>
          <w:rFonts w:ascii="仿宋" w:hAnsi="仿宋" w:eastAsia="仿宋"/>
          <w:color w:val="auto"/>
          <w:sz w:val="30"/>
          <w:szCs w:val="30"/>
        </w:rPr>
        <w:t>公司与合作伙伴应积极向员工宣传本宣言，使员工了解并自觉践行宣言， 共同营造廉洁、高效、坦诚的合作氛围。</w:t>
      </w:r>
    </w:p>
    <w:p w14:paraId="1AEE0093">
      <w:pPr>
        <w:spacing w:line="520" w:lineRule="exact"/>
        <w:rPr>
          <w:rFonts w:ascii="仿宋" w:hAnsi="仿宋" w:eastAsia="仿宋"/>
          <w:color w:val="auto"/>
          <w:sz w:val="30"/>
          <w:szCs w:val="30"/>
        </w:rPr>
      </w:pPr>
    </w:p>
    <w:p w14:paraId="170A80C9">
      <w:pPr>
        <w:spacing w:line="530" w:lineRule="exact"/>
        <w:rPr>
          <w:rFonts w:ascii="仿宋" w:hAnsi="仿宋" w:eastAsia="仿宋"/>
          <w:b/>
          <w:bCs/>
          <w:color w:val="auto"/>
          <w:sz w:val="30"/>
          <w:szCs w:val="30"/>
        </w:rPr>
      </w:pPr>
      <w:r>
        <w:rPr>
          <w:rFonts w:hint="eastAsia" w:ascii="仿宋" w:hAnsi="仿宋" w:eastAsia="仿宋"/>
          <w:bCs/>
          <w:color w:val="auto"/>
          <w:sz w:val="30"/>
          <w:szCs w:val="30"/>
        </w:rPr>
        <w:br w:type="page"/>
      </w:r>
      <w:r>
        <w:rPr>
          <w:rFonts w:hint="eastAsia" w:ascii="仿宋" w:hAnsi="仿宋" w:eastAsia="仿宋"/>
          <w:b/>
          <w:bCs/>
          <w:color w:val="auto"/>
          <w:sz w:val="30"/>
          <w:szCs w:val="30"/>
        </w:rPr>
        <w:t>附件十：入场作业安全承诺书</w:t>
      </w:r>
    </w:p>
    <w:p w14:paraId="30D5ECE0">
      <w:pPr>
        <w:spacing w:line="530" w:lineRule="exact"/>
        <w:jc w:val="center"/>
        <w:rPr>
          <w:rFonts w:ascii="仿宋" w:hAnsi="仿宋" w:eastAsia="仿宋" w:cs="宋体"/>
          <w:b/>
          <w:color w:val="auto"/>
          <w:sz w:val="30"/>
          <w:szCs w:val="30"/>
        </w:rPr>
      </w:pPr>
      <w:r>
        <w:rPr>
          <w:rFonts w:hint="eastAsia" w:ascii="仿宋" w:hAnsi="仿宋" w:eastAsia="仿宋" w:cs="宋体"/>
          <w:bCs/>
          <w:color w:val="auto"/>
          <w:sz w:val="30"/>
          <w:szCs w:val="30"/>
        </w:rPr>
        <w:t>入场作业安全承诺书</w:t>
      </w:r>
    </w:p>
    <w:p w14:paraId="17B543F0">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为确保与甲方公司项目（以下简称“本项目”）作业安全，本单位及项目经理承诺对本次作业范围内的安全生产事故承担责任，现承诺内容如下：</w:t>
      </w:r>
    </w:p>
    <w:p w14:paraId="0761AB02">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本单位已经取得承揽本项目对应等级的资质证书，本项目施工人员和服务人员均已取得对应工种的操作许可证及相关证书，资质证书及操作许可证等相关证书的有效期全部涵盖本项目期限。本单位于项目开始实施前将资质证书、操作许可证及相关证书原件出示甲方并将复印件交予甲方备案。</w:t>
      </w:r>
    </w:p>
    <w:p w14:paraId="27F4F7F0">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2、本单位承诺不再对项目进行分包或转包。</w:t>
      </w:r>
    </w:p>
    <w:p w14:paraId="44AFC486">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3、在本项目完成之前，本单位委派的项目实施人员的年龄不超过法定退休年龄，实施人员均已购买社会保险（含工伤保险）及雇主责任险，甲方有权对本单位委派的人员进行监督并随时可以要求更换，甲方要求更换人员的，本单位承诺即日予以更换。本单位于项目实施前将全部作业人员的身份证、社会保险参保证明及人身意外险保单复印件提交甲方备案。</w:t>
      </w:r>
    </w:p>
    <w:p w14:paraId="75CEC3E4">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4、在本项目开始实施前，本单位针对项目的具体实施特点制定《作业计划》、《安全作业操作规程》、《作业过程安全隐患清单》（并针对安全隐患编制《安全隐患管理方案》）及《安全事故应急处置方案》等内容报甲方备案。</w:t>
      </w:r>
    </w:p>
    <w:p w14:paraId="2819DC0C">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5、在本项目开始实施前，本单位将组织全部作业人员进行安全技术培训，保证从业人员掌握必需的安全作业知识、操作技能和应急逃生技能，未经培训合格，不予安排上岗，杜绝违章指挥、违章作业、疲劳作业。</w:t>
      </w:r>
    </w:p>
    <w:p w14:paraId="5FC98992">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6、在本项目实施过程中，本单位按照每个项目现场配置项目经理一名，负责项目实施过程中的现场管理工作，未经甲方同意，项目经理不得擅自离岗或更换。</w:t>
      </w:r>
    </w:p>
    <w:p w14:paraId="0278C015">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7、在本项目实施过程中，本单位严格按照预定《作业计划》具体实施，禁止未持有甲方颁发《作业证》的人员进入施工现场，现场作业人员必须采取佩带安全帽等安全防护措施。</w:t>
      </w:r>
    </w:p>
    <w:p w14:paraId="1D9D1E99">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8、在本项目实施过程中，本单位对作业区域采取必要的安全措施防止安全事故发生，包括但不限于：设置安全警示牌、警示灯、隔离带、安全网等方式，作业过程中严禁高空抛物或高空坠物。</w:t>
      </w:r>
    </w:p>
    <w:p w14:paraId="612F7C3B">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9、在本项目实施过程中，需要使用明火、电、气体以及其他有毒、有害物品时，本单位将安排具有相应从业资格（在该工种没有从业资格的情况下，安排具有实施经验的人员）组织实施并妥善保管上述物品。</w:t>
      </w:r>
    </w:p>
    <w:p w14:paraId="376D3171">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10、在本项目实施过程中，对可能造成损害的毗邻建筑物、构筑物、地下管线及其他设施等必须做好提前预案并采取专项防护措施。无论因何种原因的造成财产损失及其他一切损失，本单位承诺予以赔偿。</w:t>
      </w:r>
    </w:p>
    <w:p w14:paraId="706C860A">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11、在本项目实施过程中所投入使用的机械、设备、安全防护用品、劳保用品等必须符合国家、省、市规定的安全使用标准，外观完好且在有效使用期限内。</w:t>
      </w:r>
    </w:p>
    <w:p w14:paraId="1A1F8F67">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12、在本项目实施过程中，当天产生的垃圾由本单位在当日作业完成后清扫干净，清扫的垃圾以及作业工具必须堆放在甲方指定地点。</w:t>
      </w:r>
    </w:p>
    <w:p w14:paraId="38DC69D0">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13、在本项目实施完毕后，本单位于实施完毕当日完成所有垃圾清扫以及撤场手续。</w:t>
      </w:r>
    </w:p>
    <w:p w14:paraId="4DCD241B">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14、本单位如违反上述承诺，甲方有权选择按照每次</w:t>
      </w:r>
      <w:r>
        <w:rPr>
          <w:rFonts w:hint="eastAsia" w:ascii="仿宋" w:hAnsi="仿宋" w:eastAsia="仿宋" w:cs="宋体"/>
          <w:color w:val="auto"/>
          <w:sz w:val="30"/>
          <w:szCs w:val="30"/>
          <w:u w:val="single"/>
        </w:rPr>
        <w:t>1万</w:t>
      </w:r>
      <w:r>
        <w:rPr>
          <w:rFonts w:hint="eastAsia" w:ascii="仿宋" w:hAnsi="仿宋" w:eastAsia="仿宋" w:cs="宋体"/>
          <w:color w:val="auto"/>
          <w:sz w:val="30"/>
          <w:szCs w:val="30"/>
        </w:rPr>
        <w:t>元的标准要求乙方支付违约金或者要求解除合同，甲方选择解除合同的，本单位应向甲方支付合同总价款20%的违约金并同时退回已收取甲方支付的款项，违约金不足以弥补甲方损失的，本单位承诺予以赔偿。</w:t>
      </w:r>
    </w:p>
    <w:p w14:paraId="3A2FB07E">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15、本单位承诺在项目作业期间，如作业人员发生工伤、意外等事故，造成人身或者财产损失的，一切法律责任（包括但不限于赔偿经济损失）由本单位自行承担。甲方如因此承担赔偿责任的，甲方有权向本单位追偿，同时本单位还应承担甲方维权所产生的律师费、差旅费、鉴定费、公证费等必要维权开支。</w:t>
      </w:r>
    </w:p>
    <w:p w14:paraId="1E47ED6E">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16、本单位承诺在项目作业期间，如作业过程中导致第三方人身或财产损害的，给第三方造成的损失（包括但不限于赔偿经济损失）由本单位自行承担。甲方如因此承担赔偿责任的，甲方有权向本单位追偿，同时本单位还应承担甲方维权所产生的律师费、差旅费、鉴定费、公证费等必要维权开支。</w:t>
      </w:r>
    </w:p>
    <w:p w14:paraId="0A6E9A4A">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17、本单位承诺在项目作业期间，如因作业过程导致甲方遭受行政机关或司法机关处罚或调查的，本单位无条件配合行政机关或司法机关工作至正式结案之日止，因此给甲方造成的全部损失（包括但不限于行政、刑事赔偿、罚款、罚金、滞纳金等）由本单位承担。甲方如因此先行承担赔偿责任的，甲方有权向本单位追偿，同时本单位还应承担甲方维权所产生的律师费、差旅费、鉴定费、公证费等必要维权开支。</w:t>
      </w:r>
    </w:p>
    <w:p w14:paraId="3E3126D3">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18、本人为项目的（</w:t>
      </w:r>
      <w:r>
        <w:rPr>
          <w:rFonts w:hint="eastAsia" w:ascii="仿宋" w:hAnsi="仿宋" w:eastAsia="仿宋" w:cs="宋体"/>
          <w:color w:val="auto"/>
          <w:sz w:val="44"/>
          <w:szCs w:val="30"/>
          <w:lang w:eastAsia="zh-CN"/>
        </w:rPr>
        <w:t>□</w:t>
      </w:r>
      <w:r>
        <w:rPr>
          <w:rFonts w:hint="eastAsia" w:ascii="仿宋" w:hAnsi="仿宋" w:eastAsia="仿宋" w:cs="宋体"/>
          <w:color w:val="auto"/>
          <w:sz w:val="30"/>
          <w:szCs w:val="30"/>
        </w:rPr>
        <w:t xml:space="preserve">项目经理 </w:t>
      </w:r>
      <w:r>
        <w:rPr>
          <w:rFonts w:hint="eastAsia" w:ascii="仿宋" w:hAnsi="仿宋" w:eastAsia="仿宋" w:cs="宋体"/>
          <w:color w:val="auto"/>
          <w:sz w:val="44"/>
          <w:szCs w:val="30"/>
          <w:lang w:eastAsia="zh-CN"/>
        </w:rPr>
        <w:t>□</w:t>
      </w:r>
      <w:r>
        <w:rPr>
          <w:rFonts w:hint="eastAsia" w:ascii="仿宋" w:hAnsi="仿宋" w:eastAsia="仿宋" w:cs="宋体"/>
          <w:color w:val="auto"/>
          <w:sz w:val="30"/>
          <w:szCs w:val="30"/>
        </w:rPr>
        <w:t>负责人），姓名：</w:t>
      </w:r>
      <w:r>
        <w:rPr>
          <w:rFonts w:hint="eastAsia" w:ascii="仿宋" w:hAnsi="仿宋" w:eastAsia="仿宋" w:cs="宋体"/>
          <w:color w:val="auto"/>
          <w:sz w:val="30"/>
          <w:szCs w:val="30"/>
          <w:u w:val="single"/>
          <w:lang w:val="en-US" w:eastAsia="zh-CN"/>
        </w:rPr>
        <w:t xml:space="preserve">  </w:t>
      </w:r>
      <w:r>
        <w:rPr>
          <w:rFonts w:hint="eastAsia" w:ascii="仿宋" w:hAnsi="仿宋" w:eastAsia="仿宋" w:cs="宋体"/>
          <w:color w:val="auto"/>
          <w:sz w:val="30"/>
          <w:szCs w:val="30"/>
          <w:u w:val="single"/>
        </w:rPr>
        <w:t xml:space="preserve"> </w:t>
      </w:r>
      <w:r>
        <w:rPr>
          <w:rFonts w:hint="eastAsia" w:ascii="仿宋" w:hAnsi="仿宋" w:eastAsia="仿宋" w:cs="宋体"/>
          <w:color w:val="auto"/>
          <w:sz w:val="30"/>
          <w:szCs w:val="30"/>
        </w:rPr>
        <w:t>，身份证号码：</w:t>
      </w:r>
      <w:r>
        <w:rPr>
          <w:rFonts w:hint="eastAsia" w:ascii="仿宋" w:hAnsi="仿宋" w:eastAsia="仿宋" w:cs="宋体"/>
          <w:color w:val="auto"/>
          <w:sz w:val="30"/>
          <w:szCs w:val="30"/>
          <w:u w:val="single"/>
        </w:rPr>
        <w:t xml:space="preserve"> </w:t>
      </w:r>
      <w:r>
        <w:rPr>
          <w:rFonts w:hint="eastAsia" w:ascii="仿宋" w:hAnsi="仿宋" w:eastAsia="仿宋" w:cs="宋体"/>
          <w:color w:val="auto"/>
          <w:sz w:val="30"/>
          <w:szCs w:val="30"/>
          <w:u w:val="single"/>
          <w:lang w:val="en-US" w:eastAsia="zh-CN"/>
        </w:rPr>
        <w:t xml:space="preserve">         </w:t>
      </w:r>
      <w:r>
        <w:rPr>
          <w:rFonts w:hint="eastAsia" w:ascii="仿宋" w:hAnsi="仿宋" w:eastAsia="仿宋" w:cs="宋体"/>
          <w:color w:val="auto"/>
          <w:sz w:val="30"/>
          <w:szCs w:val="30"/>
        </w:rPr>
        <w:t>自愿对单位在本项目项下的全部责任承担连带赔偿责任。</w:t>
      </w:r>
    </w:p>
    <w:p w14:paraId="674E763B">
      <w:pPr>
        <w:spacing w:line="530" w:lineRule="exact"/>
        <w:ind w:firstLine="602" w:firstLineChars="200"/>
        <w:rPr>
          <w:rFonts w:ascii="仿宋" w:hAnsi="仿宋" w:eastAsia="仿宋" w:cs="宋体"/>
          <w:b/>
          <w:bCs/>
          <w:color w:val="auto"/>
          <w:sz w:val="30"/>
          <w:szCs w:val="30"/>
        </w:rPr>
      </w:pPr>
      <w:r>
        <w:rPr>
          <w:rFonts w:hint="eastAsia" w:ascii="仿宋" w:hAnsi="仿宋" w:eastAsia="仿宋" w:cs="宋体"/>
          <w:b/>
          <w:bCs/>
          <w:color w:val="auto"/>
          <w:sz w:val="30"/>
          <w:szCs w:val="30"/>
        </w:rPr>
        <w:t>19、本单位及本人已认真阅读、充分理解本承诺中各条款，包括免除甲方责任的免责条款及对本单位及本人的权利限制条款。本单位及本人认为本合同内容不存在任何歧义，并同意按照承诺约定履行义务。</w:t>
      </w:r>
    </w:p>
    <w:p w14:paraId="12E6335D">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 xml:space="preserve">                             </w:t>
      </w:r>
    </w:p>
    <w:p w14:paraId="444B236B">
      <w:pPr>
        <w:spacing w:line="530" w:lineRule="exact"/>
        <w:ind w:firstLine="5250" w:firstLineChars="1750"/>
        <w:rPr>
          <w:rFonts w:ascii="仿宋" w:hAnsi="仿宋" w:eastAsia="仿宋" w:cs="宋体"/>
          <w:color w:val="auto"/>
          <w:sz w:val="30"/>
          <w:szCs w:val="30"/>
        </w:rPr>
      </w:pPr>
      <w:r>
        <w:rPr>
          <w:rFonts w:hint="eastAsia" w:ascii="仿宋" w:hAnsi="仿宋" w:eastAsia="仿宋" w:cs="宋体"/>
          <w:color w:val="auto"/>
          <w:sz w:val="30"/>
          <w:szCs w:val="30"/>
        </w:rPr>
        <w:t>承诺人：</w:t>
      </w:r>
    </w:p>
    <w:p w14:paraId="43F8D5D1">
      <w:pPr>
        <w:spacing w:line="530" w:lineRule="exact"/>
        <w:ind w:firstLine="4050" w:firstLineChars="1350"/>
        <w:rPr>
          <w:rFonts w:ascii="仿宋" w:hAnsi="仿宋" w:eastAsia="仿宋" w:cs="宋体"/>
          <w:color w:val="auto"/>
          <w:sz w:val="30"/>
          <w:szCs w:val="30"/>
        </w:rPr>
      </w:pPr>
      <w:r>
        <w:rPr>
          <w:rFonts w:hint="eastAsia" w:ascii="仿宋" w:hAnsi="仿宋" w:eastAsia="仿宋" w:cs="宋体"/>
          <w:color w:val="auto"/>
          <w:sz w:val="30"/>
          <w:szCs w:val="30"/>
        </w:rPr>
        <w:t>（承诺单位盖章）</w:t>
      </w:r>
    </w:p>
    <w:p w14:paraId="5FE19B42">
      <w:pPr>
        <w:spacing w:line="530" w:lineRule="exact"/>
        <w:ind w:firstLine="5250" w:firstLineChars="1750"/>
        <w:rPr>
          <w:rFonts w:ascii="仿宋" w:hAnsi="仿宋" w:eastAsia="仿宋" w:cs="宋体"/>
          <w:color w:val="auto"/>
          <w:sz w:val="30"/>
          <w:szCs w:val="30"/>
        </w:rPr>
      </w:pPr>
      <w:r>
        <w:rPr>
          <w:rFonts w:hint="eastAsia" w:ascii="仿宋" w:hAnsi="仿宋" w:eastAsia="仿宋" w:cs="宋体"/>
          <w:color w:val="auto"/>
          <w:sz w:val="30"/>
          <w:szCs w:val="30"/>
        </w:rPr>
        <w:t xml:space="preserve">保证人：                   </w:t>
      </w:r>
    </w:p>
    <w:p w14:paraId="78BA9ACB">
      <w:pPr>
        <w:spacing w:line="530" w:lineRule="exact"/>
        <w:ind w:firstLine="3000" w:firstLineChars="1000"/>
        <w:rPr>
          <w:rFonts w:ascii="仿宋" w:hAnsi="仿宋" w:eastAsia="仿宋" w:cs="宋体"/>
          <w:color w:val="auto"/>
          <w:sz w:val="30"/>
          <w:szCs w:val="30"/>
        </w:rPr>
      </w:pPr>
      <w:r>
        <w:rPr>
          <w:rFonts w:hint="eastAsia" w:ascii="仿宋" w:hAnsi="仿宋" w:eastAsia="仿宋" w:cs="宋体"/>
          <w:color w:val="auto"/>
          <w:sz w:val="30"/>
          <w:szCs w:val="30"/>
        </w:rPr>
        <w:t>（项目经理或负责人签字）</w:t>
      </w:r>
    </w:p>
    <w:p w14:paraId="48C62AFB">
      <w:pPr>
        <w:spacing w:line="530" w:lineRule="exact"/>
        <w:ind w:firstLine="4500" w:firstLineChars="1500"/>
        <w:rPr>
          <w:rFonts w:ascii="仿宋" w:hAnsi="仿宋" w:eastAsia="仿宋" w:cs="宋体"/>
          <w:color w:val="auto"/>
          <w:sz w:val="30"/>
          <w:szCs w:val="30"/>
        </w:rPr>
      </w:pPr>
      <w:r>
        <w:rPr>
          <w:rFonts w:hint="eastAsia" w:ascii="仿宋" w:hAnsi="仿宋" w:eastAsia="仿宋" w:cs="宋体"/>
          <w:color w:val="auto"/>
          <w:sz w:val="30"/>
          <w:szCs w:val="30"/>
        </w:rPr>
        <w:t xml:space="preserve">年    月   日 </w:t>
      </w:r>
    </w:p>
    <w:p w14:paraId="01F6BD3A">
      <w:pPr>
        <w:spacing w:line="530" w:lineRule="exact"/>
        <w:rPr>
          <w:rFonts w:ascii="仿宋" w:hAnsi="仿宋" w:eastAsia="仿宋"/>
          <w:color w:val="auto"/>
          <w:sz w:val="30"/>
          <w:szCs w:val="30"/>
        </w:rPr>
      </w:pPr>
    </w:p>
    <w:p w14:paraId="74D9F63D">
      <w:pPr>
        <w:spacing w:line="530" w:lineRule="exact"/>
        <w:rPr>
          <w:rFonts w:ascii="仿宋" w:hAnsi="仿宋" w:eastAsia="仿宋"/>
          <w:color w:val="auto"/>
          <w:sz w:val="30"/>
          <w:szCs w:val="30"/>
        </w:rPr>
      </w:pPr>
    </w:p>
    <w:p w14:paraId="3DFA0BF6">
      <w:pPr>
        <w:snapToGrid w:val="0"/>
        <w:spacing w:before="240" w:after="240" w:line="520" w:lineRule="exact"/>
        <w:rPr>
          <w:rFonts w:ascii="仿宋" w:hAnsi="仿宋" w:eastAsia="仿宋"/>
          <w:color w:val="auto"/>
          <w:sz w:val="30"/>
          <w:szCs w:val="30"/>
        </w:rPr>
      </w:pPr>
    </w:p>
    <w:p w14:paraId="350733F7">
      <w:pPr>
        <w:rPr>
          <w:rFonts w:ascii="宋体" w:hAnsi="宋体" w:cs="宋体"/>
          <w:color w:val="auto"/>
          <w:sz w:val="28"/>
          <w:szCs w:val="28"/>
        </w:rPr>
      </w:pPr>
    </w:p>
    <w:p w14:paraId="7DF518E1">
      <w:pPr>
        <w:adjustRightInd w:val="0"/>
        <w:snapToGrid w:val="0"/>
        <w:spacing w:line="520" w:lineRule="exact"/>
        <w:ind w:firstLine="600" w:firstLineChars="200"/>
        <w:rPr>
          <w:rFonts w:ascii="仿宋" w:hAnsi="仿宋" w:eastAsia="仿宋"/>
          <w:color w:val="auto"/>
          <w:sz w:val="30"/>
          <w:szCs w:val="30"/>
        </w:rPr>
      </w:pPr>
    </w:p>
    <w:p w14:paraId="55107F67">
      <w:pPr>
        <w:rPr>
          <w:color w:val="auto"/>
        </w:rPr>
      </w:pPr>
    </w:p>
    <w:p w14:paraId="66F2736C">
      <w:pPr>
        <w:spacing w:line="600" w:lineRule="exact"/>
        <w:rPr>
          <w:color w:val="auto"/>
        </w:rPr>
      </w:pPr>
    </w:p>
    <w:p w14:paraId="0FE62D84">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color w:val="auto"/>
        </w:rPr>
      </w:pPr>
    </w:p>
    <w:sectPr>
      <w:footerReference r:id="rId6"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F3E60">
    <w:pPr>
      <w:pStyle w:val="5"/>
      <w:jc w:val="lef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381D89A">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v:fill on="f" focussize="0,0"/>
              <v:stroke on="f"/>
              <v:imagedata o:title=""/>
              <o:lock v:ext="edit" aspectratio="f"/>
              <v:textbox inset="0mm,0mm,0mm,0mm" style="mso-fit-shape-to-text:t;">
                <w:txbxContent>
                  <w:p w14:paraId="6381D89A">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1D4CB188"/>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HydtEBAACi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sh8nbRAQAAogMAAA4AAAAAAAAAAQAgAAAAHgEAAGRy&#10;cy9lMm9Eb2MueG1sUEsFBgAAAAAGAAYAWQEAAGEFAAAAAA==&#10;">
              <v:fill on="f" focussize="0,0"/>
              <v:stroke on="f"/>
              <v:imagedata o:title=""/>
              <o:lock v:ext="edit" aspectratio="f"/>
              <v:textbox inset="0mm,0mm,0mm,0mm" style="mso-fit-shape-to-text:t;">
                <w:txbxContent>
                  <w:p w14:paraId="1D4CB188"/>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2CF10">
    <w:pPr>
      <w:pStyle w:val="5"/>
      <w:jc w:val="left"/>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0FFA3F6">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eCe29EBAACi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ngntvRAQAAogMAAA4AAAAAAAAAAQAgAAAAHgEAAGRy&#10;cy9lMm9Eb2MueG1sUEsFBgAAAAAGAAYAWQEAAGEFAAAAAA==&#10;">
              <v:fill on="f" focussize="0,0"/>
              <v:stroke on="f"/>
              <v:imagedata o:title=""/>
              <o:lock v:ext="edit" aspectratio="f"/>
              <v:textbox inset="0mm,0mm,0mm,0mm" style="mso-fit-shape-to-text:t;">
                <w:txbxContent>
                  <w:p w14:paraId="30FFA3F6">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75955CC8">
                          <w:pPr>
                            <w:pStyle w:val="5"/>
                            <w:jc w:val="left"/>
                          </w:pPr>
                        </w:p>
                        <w:p w14:paraId="6CA14D69"/>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xBp9EBAACi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YY1MYmw2W2nYDxOzvW/PSKzHDWDU&#10;4cJTYj44FDgvy2zE2djPxjFEfejKNuVOILw9JuymNJkrjLBTYRxdoTmtWd6Nv/2S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TMQafRAQAAogMAAA4AAAAAAAAAAQAgAAAAHgEAAGRy&#10;cy9lMm9Eb2MueG1sUEsFBgAAAAAGAAYAWQEAAGEFAAAAAA==&#10;">
              <v:fill on="f" focussize="0,0"/>
              <v:stroke on="f"/>
              <v:imagedata o:title=""/>
              <o:lock v:ext="edit" aspectratio="f"/>
              <v:textbox inset="0mm,0mm,0mm,0mm" style="mso-fit-shape-to-text:t;">
                <w:txbxContent>
                  <w:p w14:paraId="75955CC8">
                    <w:pPr>
                      <w:pStyle w:val="5"/>
                      <w:jc w:val="left"/>
                    </w:pPr>
                  </w:p>
                  <w:p w14:paraId="6CA14D69"/>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3AFC7">
    <w:pPr>
      <w:pStyle w:val="5"/>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210E1D">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F210E1D">
                    <w:pPr>
                      <w:pStyle w:val="5"/>
                    </w:pPr>
                    <w:r>
                      <w:fldChar w:fldCharType="begin"/>
                    </w:r>
                    <w:r>
                      <w:instrText xml:space="preserve"> PAGE  \* MERGEFORMAT </w:instrText>
                    </w:r>
                    <w:r>
                      <w:fldChar w:fldCharType="separate"/>
                    </w:r>
                    <w:r>
                      <w:t>6</w:t>
                    </w:r>
                    <w:r>
                      <w:fldChar w:fldCharType="end"/>
                    </w:r>
                  </w:p>
                </w:txbxContent>
              </v:textbox>
            </v:shape>
          </w:pict>
        </mc:Fallback>
      </mc:AlternateContent>
    </w:r>
  </w:p>
  <w:p w14:paraId="40D4ABAC">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7AC14">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904B8"/>
    <w:multiLevelType w:val="multilevel"/>
    <w:tmpl w:val="07B904B8"/>
    <w:lvl w:ilvl="0" w:tentative="0">
      <w:start w:val="1"/>
      <w:numFmt w:val="japaneseCounting"/>
      <w:lvlText w:val="（%1）"/>
      <w:lvlJc w:val="left"/>
      <w:pPr>
        <w:ind w:left="1680" w:hanging="108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6DE3E118"/>
    <w:multiLevelType w:val="singleLevel"/>
    <w:tmpl w:val="6DE3E118"/>
    <w:lvl w:ilvl="0" w:tentative="0">
      <w:start w:val="7"/>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56E83D33"/>
    <w:rsid w:val="00E72AA5"/>
    <w:rsid w:val="03006C48"/>
    <w:rsid w:val="03684D13"/>
    <w:rsid w:val="04913ACA"/>
    <w:rsid w:val="05783C18"/>
    <w:rsid w:val="076D7821"/>
    <w:rsid w:val="07CD646F"/>
    <w:rsid w:val="0BAC44BB"/>
    <w:rsid w:val="0EB14D54"/>
    <w:rsid w:val="0F5A4624"/>
    <w:rsid w:val="10317DC5"/>
    <w:rsid w:val="12640D59"/>
    <w:rsid w:val="13032BFC"/>
    <w:rsid w:val="13266824"/>
    <w:rsid w:val="187E6002"/>
    <w:rsid w:val="1D254070"/>
    <w:rsid w:val="1DE55C6E"/>
    <w:rsid w:val="1E821269"/>
    <w:rsid w:val="1F500C95"/>
    <w:rsid w:val="20BF049A"/>
    <w:rsid w:val="21047210"/>
    <w:rsid w:val="261F3125"/>
    <w:rsid w:val="26EB48D1"/>
    <w:rsid w:val="2A4F3BA9"/>
    <w:rsid w:val="2AE204E7"/>
    <w:rsid w:val="2B89450B"/>
    <w:rsid w:val="2C210A56"/>
    <w:rsid w:val="2E0A72C8"/>
    <w:rsid w:val="2EA94D33"/>
    <w:rsid w:val="31216E03"/>
    <w:rsid w:val="31B62D11"/>
    <w:rsid w:val="326359C0"/>
    <w:rsid w:val="341E587B"/>
    <w:rsid w:val="34A91D02"/>
    <w:rsid w:val="35ED7BFB"/>
    <w:rsid w:val="368875A6"/>
    <w:rsid w:val="379245B6"/>
    <w:rsid w:val="37B96620"/>
    <w:rsid w:val="391623D7"/>
    <w:rsid w:val="39D40133"/>
    <w:rsid w:val="3A1D671D"/>
    <w:rsid w:val="3AA840F1"/>
    <w:rsid w:val="3C387320"/>
    <w:rsid w:val="3CBF58C5"/>
    <w:rsid w:val="3D5C3F59"/>
    <w:rsid w:val="407927B7"/>
    <w:rsid w:val="41024036"/>
    <w:rsid w:val="43A0005B"/>
    <w:rsid w:val="43FB5B86"/>
    <w:rsid w:val="455332C1"/>
    <w:rsid w:val="46ED0B48"/>
    <w:rsid w:val="47C106F6"/>
    <w:rsid w:val="484E7E3D"/>
    <w:rsid w:val="488C6E00"/>
    <w:rsid w:val="49C443CE"/>
    <w:rsid w:val="4A0D7E48"/>
    <w:rsid w:val="4B9765CB"/>
    <w:rsid w:val="4CAD1000"/>
    <w:rsid w:val="503A6B3E"/>
    <w:rsid w:val="53183CB8"/>
    <w:rsid w:val="550C54C1"/>
    <w:rsid w:val="56554DBB"/>
    <w:rsid w:val="56A2177C"/>
    <w:rsid w:val="56E83D33"/>
    <w:rsid w:val="57064221"/>
    <w:rsid w:val="57707DDD"/>
    <w:rsid w:val="594C693C"/>
    <w:rsid w:val="59A8307F"/>
    <w:rsid w:val="5A4E1FDA"/>
    <w:rsid w:val="5C8F6A67"/>
    <w:rsid w:val="5E4D0988"/>
    <w:rsid w:val="61826B9A"/>
    <w:rsid w:val="62ED371C"/>
    <w:rsid w:val="631022D3"/>
    <w:rsid w:val="653C74CC"/>
    <w:rsid w:val="658C591F"/>
    <w:rsid w:val="65A013D8"/>
    <w:rsid w:val="6747687B"/>
    <w:rsid w:val="69BB3C2A"/>
    <w:rsid w:val="6D535020"/>
    <w:rsid w:val="6D805A20"/>
    <w:rsid w:val="6DE7282A"/>
    <w:rsid w:val="71AD2383"/>
    <w:rsid w:val="73E86D31"/>
    <w:rsid w:val="75104DD7"/>
    <w:rsid w:val="75702007"/>
    <w:rsid w:val="772E3690"/>
    <w:rsid w:val="77F34723"/>
    <w:rsid w:val="7809535A"/>
    <w:rsid w:val="79A949E5"/>
    <w:rsid w:val="7A5A1EFF"/>
    <w:rsid w:val="7BF30969"/>
    <w:rsid w:val="7E4C1BA3"/>
    <w:rsid w:val="7FDE3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unhideWhenUsed/>
    <w:qFormat/>
    <w:uiPriority w:val="99"/>
  </w:style>
  <w:style w:type="character" w:styleId="13">
    <w:name w:val="annotation reference"/>
    <w:qFormat/>
    <w:uiPriority w:val="0"/>
    <w:rPr>
      <w:sz w:val="21"/>
      <w:szCs w:val="21"/>
    </w:rPr>
  </w:style>
  <w:style w:type="paragraph" w:customStyle="1" w:styleId="14">
    <w:name w:val="Table Paragraph"/>
    <w:basedOn w:val="1"/>
    <w:qFormat/>
    <w:uiPriority w:val="1"/>
    <w:pPr>
      <w:autoSpaceDE w:val="0"/>
      <w:autoSpaceDN w:val="0"/>
      <w:jc w:val="left"/>
    </w:pPr>
    <w:rPr>
      <w:rFonts w:ascii="仿宋" w:hAnsi="仿宋" w:eastAsia="仿宋" w:cs="仿宋"/>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72</Pages>
  <Words>32854</Words>
  <Characters>33688</Characters>
  <Lines>0</Lines>
  <Paragraphs>0</Paragraphs>
  <TotalTime>4</TotalTime>
  <ScaleCrop>false</ScaleCrop>
  <LinksUpToDate>false</LinksUpToDate>
  <CharactersWithSpaces>34805</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Lui啊lui</cp:lastModifiedBy>
  <cp:lastPrinted>2024-06-12T06:42:00Z</cp:lastPrinted>
  <dcterms:modified xsi:type="dcterms:W3CDTF">2024-07-02T07:36:04Z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8D208363D957452783BB718D46E882F8</vt:lpwstr>
  </property>
</Properties>
</file>