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98AD3">
      <w:pPr>
        <w:keepNext w:val="0"/>
        <w:keepLines w:val="0"/>
        <w:pageBreakBefore w:val="0"/>
        <w:widowControl w:val="0"/>
        <w:kinsoku/>
        <w:wordWrap/>
        <w:overflowPunct/>
        <w:topLinePunct w:val="0"/>
        <w:autoSpaceDE/>
        <w:autoSpaceDN/>
        <w:bidi w:val="0"/>
        <w:adjustRightInd/>
        <w:snapToGrid/>
        <w:spacing w:line="530" w:lineRule="exact"/>
        <w:ind w:right="0" w:rightChars="0"/>
        <w:jc w:val="both"/>
        <w:textAlignment w:val="auto"/>
        <w:outlineLvl w:val="9"/>
        <w:rPr>
          <w:rFonts w:hint="default"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附件</w:t>
      </w:r>
    </w:p>
    <w:p w14:paraId="64C8DAAB">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广西中马钦州产业园区开发有限公司关于</w:t>
      </w:r>
    </w:p>
    <w:p w14:paraId="44707D3F">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2025年度财务报表及内部控制审计项目聘请</w:t>
      </w:r>
    </w:p>
    <w:p w14:paraId="28B8184B">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服务单位公开比选文件</w:t>
      </w:r>
    </w:p>
    <w:p w14:paraId="2EEA4050">
      <w:pPr>
        <w:keepNext w:val="0"/>
        <w:keepLines w:val="0"/>
        <w:pageBreakBefore w:val="0"/>
        <w:widowControl w:val="0"/>
        <w:kinsoku/>
        <w:wordWrap/>
        <w:overflowPunct/>
        <w:topLinePunct w:val="0"/>
        <w:autoSpaceDE/>
        <w:autoSpaceDN/>
        <w:bidi w:val="0"/>
        <w:adjustRightInd/>
        <w:snapToGrid/>
        <w:spacing w:before="322" w:beforeLines="100" w:line="520" w:lineRule="exact"/>
        <w:ind w:left="0" w:leftChars="0" w:right="0" w:rightChars="0" w:firstLine="600" w:firstLineChars="200"/>
        <w:jc w:val="both"/>
        <w:textAlignment w:val="auto"/>
        <w:outlineLvl w:val="9"/>
        <w:rPr>
          <w:rFonts w:ascii="Times New Roman" w:hAnsi="Times New Roman" w:eastAsia="仿宋"/>
          <w:color w:val="auto"/>
          <w:sz w:val="30"/>
          <w:szCs w:val="30"/>
        </w:rPr>
      </w:pPr>
      <w:r>
        <w:rPr>
          <w:rFonts w:ascii="Times New Roman" w:hAnsi="仿宋" w:eastAsia="仿宋"/>
          <w:color w:val="auto"/>
          <w:sz w:val="30"/>
          <w:szCs w:val="30"/>
        </w:rPr>
        <w:t>我公司</w:t>
      </w:r>
      <w:r>
        <w:rPr>
          <w:rFonts w:hint="eastAsia" w:ascii="Times New Roman" w:hAnsi="仿宋" w:eastAsia="仿宋"/>
          <w:color w:val="auto"/>
          <w:sz w:val="30"/>
          <w:szCs w:val="30"/>
          <w:lang w:eastAsia="zh-CN"/>
        </w:rPr>
        <w:t>根据</w:t>
      </w:r>
      <w:r>
        <w:rPr>
          <w:rFonts w:hint="eastAsia" w:ascii="Times New Roman" w:hAnsi="仿宋" w:eastAsia="仿宋"/>
          <w:color w:val="auto"/>
          <w:sz w:val="30"/>
          <w:szCs w:val="30"/>
          <w:lang w:val="en-US" w:eastAsia="zh-CN"/>
        </w:rPr>
        <w:t>2025年审计工作计划，</w:t>
      </w:r>
      <w:r>
        <w:rPr>
          <w:rFonts w:ascii="Times New Roman" w:hAnsi="仿宋" w:eastAsia="仿宋"/>
          <w:color w:val="auto"/>
          <w:sz w:val="30"/>
          <w:szCs w:val="30"/>
        </w:rPr>
        <w:t>拟</w:t>
      </w:r>
      <w:r>
        <w:rPr>
          <w:rFonts w:hint="eastAsia" w:ascii="Times New Roman" w:hAnsi="仿宋" w:eastAsia="仿宋"/>
          <w:color w:val="auto"/>
          <w:sz w:val="30"/>
          <w:szCs w:val="30"/>
          <w:lang w:eastAsia="zh-CN"/>
        </w:rPr>
        <w:t>对其中</w:t>
      </w:r>
      <w:r>
        <w:rPr>
          <w:rFonts w:hint="eastAsia" w:ascii="Times New Roman" w:hAnsi="仿宋" w:eastAsia="仿宋"/>
          <w:color w:val="auto"/>
          <w:sz w:val="30"/>
          <w:szCs w:val="30"/>
          <w:lang w:val="en-US" w:eastAsia="zh-CN"/>
        </w:rPr>
        <w:t>2025年度财务报表及内部控制审计项目的审计服务</w:t>
      </w:r>
      <w:r>
        <w:rPr>
          <w:rFonts w:ascii="Times New Roman" w:hAnsi="仿宋" w:eastAsia="仿宋"/>
          <w:color w:val="auto"/>
          <w:sz w:val="30"/>
          <w:szCs w:val="30"/>
        </w:rPr>
        <w:t>通过公开比选</w:t>
      </w:r>
      <w:r>
        <w:rPr>
          <w:rFonts w:hint="eastAsia" w:ascii="Times New Roman" w:hAnsi="仿宋" w:eastAsia="仿宋"/>
          <w:color w:val="auto"/>
          <w:sz w:val="30"/>
          <w:szCs w:val="30"/>
          <w:lang w:eastAsia="zh-CN"/>
        </w:rPr>
        <w:t>选择服务</w:t>
      </w:r>
      <w:r>
        <w:rPr>
          <w:rFonts w:hint="eastAsia" w:ascii="Times New Roman" w:hAnsi="仿宋" w:eastAsia="仿宋"/>
          <w:color w:val="auto"/>
          <w:sz w:val="30"/>
          <w:szCs w:val="30"/>
          <w:lang w:val="en-US" w:eastAsia="zh-CN"/>
        </w:rPr>
        <w:t>单位</w:t>
      </w:r>
      <w:r>
        <w:rPr>
          <w:rFonts w:ascii="Times New Roman" w:hAnsi="仿宋" w:eastAsia="仿宋"/>
          <w:color w:val="auto"/>
          <w:sz w:val="30"/>
          <w:szCs w:val="30"/>
        </w:rPr>
        <w:t>，具体事项如下：</w:t>
      </w:r>
    </w:p>
    <w:p w14:paraId="7C21768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00" w:firstLineChars="200"/>
        <w:jc w:val="both"/>
        <w:textAlignment w:val="auto"/>
        <w:outlineLvl w:val="9"/>
        <w:rPr>
          <w:rFonts w:hint="eastAsia" w:ascii="黑体" w:hAnsi="黑体" w:eastAsia="黑体"/>
          <w:color w:val="auto"/>
          <w:sz w:val="30"/>
          <w:szCs w:val="30"/>
          <w:lang w:eastAsia="zh-CN"/>
        </w:rPr>
      </w:pPr>
      <w:r>
        <w:rPr>
          <w:rFonts w:ascii="黑体" w:hAnsi="黑体" w:eastAsia="黑体"/>
          <w:color w:val="auto"/>
          <w:sz w:val="30"/>
          <w:szCs w:val="30"/>
        </w:rPr>
        <w:t>一、</w:t>
      </w:r>
      <w:r>
        <w:rPr>
          <w:rFonts w:hint="eastAsia" w:ascii="黑体" w:hAnsi="黑体" w:eastAsia="黑体"/>
          <w:color w:val="auto"/>
          <w:sz w:val="30"/>
          <w:szCs w:val="30"/>
          <w:lang w:eastAsia="zh-CN"/>
        </w:rPr>
        <w:t>服务范围及内容</w:t>
      </w:r>
    </w:p>
    <w:p w14:paraId="0F9CAF7D">
      <w:pPr>
        <w:keepNext w:val="0"/>
        <w:keepLines w:val="0"/>
        <w:pageBreakBefore w:val="0"/>
        <w:widowControl w:val="0"/>
        <w:kinsoku/>
        <w:wordWrap/>
        <w:overflowPunct/>
        <w:topLinePunct w:val="0"/>
        <w:autoSpaceDE/>
        <w:autoSpaceDN/>
        <w:bidi w:val="0"/>
        <w:adjustRightInd/>
        <w:snapToGrid/>
        <w:spacing w:line="52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（一）服务范围：</w:t>
      </w:r>
    </w:p>
    <w:p w14:paraId="2DE4CC4A">
      <w:pPr>
        <w:keepNext w:val="0"/>
        <w:keepLines w:val="0"/>
        <w:pageBreakBefore w:val="0"/>
        <w:widowControl w:val="0"/>
        <w:kinsoku/>
        <w:wordWrap/>
        <w:overflowPunct/>
        <w:topLinePunct w:val="0"/>
        <w:autoSpaceDE/>
        <w:autoSpaceDN/>
        <w:bidi w:val="0"/>
        <w:adjustRightInd/>
        <w:snapToGrid/>
        <w:spacing w:after="81" w:afterLines="25" w:line="520" w:lineRule="exact"/>
        <w:ind w:left="0" w:leftChars="0"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公司及所属子公司共10家单位（各单位名单见下表）</w:t>
      </w:r>
    </w:p>
    <w:tbl>
      <w:tblPr>
        <w:tblStyle w:val="6"/>
        <w:tblW w:w="9252" w:type="dxa"/>
        <w:tblInd w:w="0" w:type="dxa"/>
        <w:shd w:val="clear" w:color="auto" w:fill="auto"/>
        <w:tblLayout w:type="fixed"/>
        <w:tblCellMar>
          <w:top w:w="0" w:type="dxa"/>
          <w:left w:w="108" w:type="dxa"/>
          <w:bottom w:w="0" w:type="dxa"/>
          <w:right w:w="108" w:type="dxa"/>
        </w:tblCellMar>
      </w:tblPr>
      <w:tblGrid>
        <w:gridCol w:w="557"/>
        <w:gridCol w:w="3153"/>
        <w:gridCol w:w="1965"/>
        <w:gridCol w:w="1777"/>
        <w:gridCol w:w="1800"/>
      </w:tblGrid>
      <w:tr w14:paraId="2758C9B0">
        <w:tblPrEx>
          <w:shd w:val="clear" w:color="auto" w:fill="auto"/>
          <w:tblCellMar>
            <w:top w:w="0" w:type="dxa"/>
            <w:left w:w="108" w:type="dxa"/>
            <w:bottom w:w="0" w:type="dxa"/>
            <w:right w:w="108" w:type="dxa"/>
          </w:tblCellMar>
        </w:tblPrEx>
        <w:trPr>
          <w:trHeight w:val="355" w:hRule="atLeast"/>
        </w:trPr>
        <w:tc>
          <w:tcPr>
            <w:tcW w:w="557" w:type="dxa"/>
            <w:vMerge w:val="restart"/>
            <w:tcBorders>
              <w:top w:val="single" w:color="000000" w:sz="4" w:space="0"/>
              <w:left w:val="single" w:color="000000" w:sz="4" w:space="0"/>
              <w:right w:val="single" w:color="000000" w:sz="4" w:space="0"/>
            </w:tcBorders>
            <w:shd w:val="clear" w:color="auto" w:fill="auto"/>
            <w:noWrap/>
            <w:vAlign w:val="center"/>
          </w:tcPr>
          <w:p w14:paraId="1D2E05E9">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hint="default" w:ascii="Times New Roman" w:hAnsi="Times New Roman" w:eastAsia="宋体" w:cs="Times New Roman"/>
                <w:i w:val="0"/>
                <w:iCs w:val="0"/>
                <w:color w:val="auto"/>
                <w:sz w:val="21"/>
                <w:szCs w:val="21"/>
                <w:u w:val="none"/>
              </w:rPr>
            </w:pPr>
            <w:r>
              <w:rPr>
                <w:rStyle w:val="9"/>
                <w:color w:val="auto"/>
                <w:sz w:val="21"/>
                <w:szCs w:val="21"/>
                <w:lang w:val="en-US" w:eastAsia="zh-CN" w:bidi="ar"/>
              </w:rPr>
              <w:t>序号</w:t>
            </w:r>
          </w:p>
        </w:tc>
        <w:tc>
          <w:tcPr>
            <w:tcW w:w="3153" w:type="dxa"/>
            <w:vMerge w:val="restart"/>
            <w:tcBorders>
              <w:top w:val="single" w:color="000000" w:sz="4" w:space="0"/>
              <w:left w:val="single" w:color="000000" w:sz="4" w:space="0"/>
              <w:right w:val="single" w:color="000000" w:sz="4" w:space="0"/>
            </w:tcBorders>
            <w:shd w:val="clear" w:color="auto" w:fill="auto"/>
            <w:noWrap/>
            <w:vAlign w:val="center"/>
          </w:tcPr>
          <w:p w14:paraId="30E7748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Style w:val="9"/>
                <w:color w:val="auto"/>
                <w:sz w:val="21"/>
                <w:szCs w:val="21"/>
                <w:lang w:val="en-US" w:eastAsia="zh-CN" w:bidi="ar"/>
              </w:rPr>
              <w:t>单位名称</w:t>
            </w:r>
          </w:p>
        </w:tc>
        <w:tc>
          <w:tcPr>
            <w:tcW w:w="1965" w:type="dxa"/>
            <w:vMerge w:val="restart"/>
            <w:tcBorders>
              <w:top w:val="single" w:color="000000" w:sz="4" w:space="0"/>
              <w:left w:val="single" w:color="000000" w:sz="4" w:space="0"/>
              <w:right w:val="single" w:color="000000" w:sz="4" w:space="0"/>
            </w:tcBorders>
            <w:shd w:val="clear" w:color="auto" w:fill="auto"/>
            <w:noWrap/>
            <w:vAlign w:val="center"/>
          </w:tcPr>
          <w:p w14:paraId="03A5B791">
            <w:pPr>
              <w:keepNext w:val="0"/>
              <w:keepLines w:val="0"/>
              <w:widowControl/>
              <w:suppressLineNumbers w:val="0"/>
              <w:jc w:val="center"/>
              <w:textAlignment w:val="center"/>
              <w:rPr>
                <w:rStyle w:val="9"/>
                <w:rFonts w:hint="eastAsia"/>
                <w:color w:val="auto"/>
                <w:sz w:val="21"/>
                <w:szCs w:val="21"/>
                <w:lang w:val="en-US" w:eastAsia="zh-CN" w:bidi="ar"/>
              </w:rPr>
            </w:pPr>
            <w:r>
              <w:rPr>
                <w:rStyle w:val="9"/>
                <w:rFonts w:hint="eastAsia"/>
                <w:color w:val="auto"/>
                <w:sz w:val="21"/>
                <w:szCs w:val="21"/>
                <w:lang w:val="en-US" w:eastAsia="zh-CN" w:bidi="ar"/>
              </w:rPr>
              <w:t>主要业务及</w:t>
            </w:r>
          </w:p>
          <w:p w14:paraId="6C39465B">
            <w:pPr>
              <w:keepNext w:val="0"/>
              <w:keepLines w:val="0"/>
              <w:widowControl/>
              <w:suppressLineNumbers w:val="0"/>
              <w:jc w:val="center"/>
              <w:textAlignment w:val="center"/>
              <w:rPr>
                <w:rStyle w:val="9"/>
                <w:rFonts w:hint="default"/>
                <w:color w:val="auto"/>
                <w:sz w:val="21"/>
                <w:szCs w:val="21"/>
                <w:lang w:val="en-US" w:eastAsia="zh-CN" w:bidi="ar"/>
              </w:rPr>
            </w:pPr>
            <w:r>
              <w:rPr>
                <w:rStyle w:val="9"/>
                <w:rFonts w:hint="eastAsia"/>
                <w:color w:val="auto"/>
                <w:sz w:val="21"/>
                <w:szCs w:val="21"/>
                <w:lang w:val="en-US" w:eastAsia="zh-CN" w:bidi="ar"/>
              </w:rPr>
              <w:t>收入来源</w:t>
            </w:r>
          </w:p>
        </w:tc>
        <w:tc>
          <w:tcPr>
            <w:tcW w:w="1777"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C318F99">
            <w:pPr>
              <w:keepNext w:val="0"/>
              <w:keepLines w:val="0"/>
              <w:widowControl/>
              <w:suppressLineNumbers w:val="0"/>
              <w:jc w:val="center"/>
              <w:textAlignment w:val="center"/>
              <w:rPr>
                <w:rStyle w:val="9"/>
                <w:rFonts w:hint="eastAsia"/>
                <w:color w:val="auto"/>
                <w:sz w:val="21"/>
                <w:szCs w:val="21"/>
                <w:lang w:val="en-US" w:eastAsia="zh-CN" w:bidi="ar"/>
              </w:rPr>
            </w:pPr>
            <w:r>
              <w:rPr>
                <w:rStyle w:val="9"/>
                <w:rFonts w:hint="eastAsia"/>
                <w:color w:val="auto"/>
                <w:sz w:val="21"/>
                <w:szCs w:val="21"/>
                <w:lang w:val="en-US" w:eastAsia="zh-CN" w:bidi="ar"/>
              </w:rPr>
              <w:t>资产总额（万元）</w:t>
            </w:r>
          </w:p>
        </w:tc>
        <w:tc>
          <w:tcPr>
            <w:tcW w:w="180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76277F9">
            <w:pPr>
              <w:keepNext w:val="0"/>
              <w:keepLines w:val="0"/>
              <w:widowControl/>
              <w:suppressLineNumbers w:val="0"/>
              <w:jc w:val="center"/>
              <w:textAlignment w:val="center"/>
              <w:rPr>
                <w:rStyle w:val="9"/>
                <w:rFonts w:hint="eastAsia"/>
                <w:color w:val="auto"/>
                <w:sz w:val="21"/>
                <w:szCs w:val="21"/>
                <w:lang w:val="en-US" w:eastAsia="zh-CN" w:bidi="ar"/>
              </w:rPr>
            </w:pPr>
            <w:r>
              <w:rPr>
                <w:rStyle w:val="9"/>
                <w:rFonts w:hint="eastAsia"/>
                <w:color w:val="auto"/>
                <w:sz w:val="21"/>
                <w:szCs w:val="21"/>
                <w:lang w:val="en-US" w:eastAsia="zh-CN" w:bidi="ar"/>
              </w:rPr>
              <w:t>营业收入（万元）</w:t>
            </w:r>
          </w:p>
        </w:tc>
      </w:tr>
      <w:tr w14:paraId="27D14219">
        <w:tblPrEx>
          <w:shd w:val="clear" w:color="auto" w:fill="auto"/>
          <w:tblCellMar>
            <w:top w:w="0" w:type="dxa"/>
            <w:left w:w="108" w:type="dxa"/>
            <w:bottom w:w="0" w:type="dxa"/>
            <w:right w:w="108" w:type="dxa"/>
          </w:tblCellMar>
        </w:tblPrEx>
        <w:trPr>
          <w:trHeight w:val="594" w:hRule="atLeast"/>
        </w:trPr>
        <w:tc>
          <w:tcPr>
            <w:tcW w:w="557" w:type="dxa"/>
            <w:vMerge w:val="continue"/>
            <w:tcBorders>
              <w:left w:val="single" w:color="000000" w:sz="4" w:space="0"/>
              <w:bottom w:val="single" w:color="000000" w:sz="4" w:space="0"/>
              <w:right w:val="single" w:color="000000" w:sz="4" w:space="0"/>
            </w:tcBorders>
            <w:shd w:val="clear" w:color="auto" w:fill="auto"/>
            <w:noWrap/>
            <w:vAlign w:val="center"/>
          </w:tcPr>
          <w:p w14:paraId="6E7E61D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Style w:val="9"/>
                <w:color w:val="auto"/>
                <w:sz w:val="21"/>
                <w:szCs w:val="21"/>
                <w:lang w:val="en-US" w:eastAsia="zh-CN" w:bidi="ar"/>
              </w:rPr>
            </w:pPr>
          </w:p>
        </w:tc>
        <w:tc>
          <w:tcPr>
            <w:tcW w:w="3153" w:type="dxa"/>
            <w:vMerge w:val="continue"/>
            <w:tcBorders>
              <w:left w:val="single" w:color="000000" w:sz="4" w:space="0"/>
              <w:bottom w:val="single" w:color="000000" w:sz="4" w:space="0"/>
              <w:right w:val="single" w:color="000000" w:sz="4" w:space="0"/>
            </w:tcBorders>
            <w:shd w:val="clear" w:color="auto" w:fill="auto"/>
            <w:noWrap/>
            <w:vAlign w:val="center"/>
          </w:tcPr>
          <w:p w14:paraId="207381F5">
            <w:pPr>
              <w:keepNext w:val="0"/>
              <w:keepLines w:val="0"/>
              <w:widowControl/>
              <w:suppressLineNumbers w:val="0"/>
              <w:jc w:val="center"/>
              <w:textAlignment w:val="center"/>
              <w:rPr>
                <w:rStyle w:val="9"/>
                <w:color w:val="auto"/>
                <w:sz w:val="21"/>
                <w:szCs w:val="21"/>
                <w:lang w:val="en-US" w:eastAsia="zh-CN" w:bidi="ar"/>
              </w:rPr>
            </w:pPr>
          </w:p>
        </w:tc>
        <w:tc>
          <w:tcPr>
            <w:tcW w:w="1965" w:type="dxa"/>
            <w:vMerge w:val="continue"/>
            <w:tcBorders>
              <w:left w:val="single" w:color="000000" w:sz="4" w:space="0"/>
              <w:bottom w:val="single" w:color="000000" w:sz="4" w:space="0"/>
              <w:right w:val="single" w:color="000000" w:sz="4" w:space="0"/>
            </w:tcBorders>
            <w:shd w:val="clear" w:color="auto" w:fill="auto"/>
            <w:noWrap/>
            <w:vAlign w:val="center"/>
          </w:tcPr>
          <w:p w14:paraId="4DDF52E6">
            <w:pPr>
              <w:keepNext w:val="0"/>
              <w:keepLines w:val="0"/>
              <w:widowControl/>
              <w:suppressLineNumbers w:val="0"/>
              <w:jc w:val="center"/>
              <w:textAlignment w:val="center"/>
              <w:rPr>
                <w:rStyle w:val="9"/>
                <w:color w:val="auto"/>
                <w:sz w:val="21"/>
                <w:szCs w:val="21"/>
                <w:lang w:val="en-US" w:eastAsia="zh-CN" w:bidi="ar"/>
              </w:rPr>
            </w:pPr>
          </w:p>
        </w:tc>
        <w:tc>
          <w:tcPr>
            <w:tcW w:w="1777" w:type="dxa"/>
            <w:tcBorders>
              <w:top w:val="single" w:color="auto" w:sz="4" w:space="0"/>
              <w:left w:val="single" w:color="auto" w:sz="4" w:space="0"/>
              <w:bottom w:val="single" w:color="000000" w:sz="4" w:space="0"/>
              <w:right w:val="single" w:color="000000" w:sz="4" w:space="0"/>
            </w:tcBorders>
            <w:shd w:val="clear" w:color="auto" w:fill="auto"/>
            <w:noWrap/>
            <w:vAlign w:val="center"/>
          </w:tcPr>
          <w:p w14:paraId="0E1E61F0">
            <w:pPr>
              <w:keepNext w:val="0"/>
              <w:keepLines w:val="0"/>
              <w:pageBreakBefore w:val="0"/>
              <w:widowControl/>
              <w:suppressLineNumbers w:val="0"/>
              <w:kinsoku/>
              <w:wordWrap/>
              <w:overflowPunct/>
              <w:topLinePunct w:val="0"/>
              <w:autoSpaceDE/>
              <w:autoSpaceDN/>
              <w:bidi w:val="0"/>
              <w:adjustRightInd w:val="0"/>
              <w:snapToGrid w:val="0"/>
              <w:ind w:left="-71" w:leftChars="-34" w:right="-71" w:rightChars="-34"/>
              <w:jc w:val="center"/>
              <w:textAlignment w:val="center"/>
              <w:rPr>
                <w:rStyle w:val="9"/>
                <w:rFonts w:hint="eastAsia"/>
                <w:color w:val="auto"/>
                <w:sz w:val="21"/>
                <w:szCs w:val="21"/>
                <w:lang w:val="en-US" w:eastAsia="zh-CN" w:bidi="ar"/>
              </w:rPr>
            </w:pPr>
            <w:r>
              <w:rPr>
                <w:rStyle w:val="9"/>
                <w:rFonts w:hint="eastAsia"/>
                <w:color w:val="auto"/>
                <w:sz w:val="21"/>
                <w:szCs w:val="21"/>
                <w:lang w:val="en-US" w:eastAsia="zh-CN" w:bidi="ar"/>
              </w:rPr>
              <w:t>2025年末</w:t>
            </w:r>
          </w:p>
          <w:p w14:paraId="2AB986CE">
            <w:pPr>
              <w:keepNext w:val="0"/>
              <w:keepLines w:val="0"/>
              <w:pageBreakBefore w:val="0"/>
              <w:widowControl/>
              <w:suppressLineNumbers w:val="0"/>
              <w:kinsoku/>
              <w:wordWrap/>
              <w:overflowPunct/>
              <w:topLinePunct w:val="0"/>
              <w:autoSpaceDE/>
              <w:autoSpaceDN/>
              <w:bidi w:val="0"/>
              <w:adjustRightInd w:val="0"/>
              <w:snapToGrid w:val="0"/>
              <w:ind w:left="-71" w:leftChars="-34" w:right="-71" w:rightChars="-34"/>
              <w:jc w:val="center"/>
              <w:textAlignment w:val="center"/>
              <w:rPr>
                <w:rStyle w:val="9"/>
                <w:rFonts w:hint="default"/>
                <w:color w:val="auto"/>
                <w:sz w:val="21"/>
                <w:szCs w:val="21"/>
                <w:lang w:val="en-US" w:eastAsia="zh-CN" w:bidi="ar"/>
              </w:rPr>
            </w:pPr>
            <w:r>
              <w:rPr>
                <w:rStyle w:val="9"/>
                <w:rFonts w:hint="eastAsia"/>
                <w:color w:val="auto"/>
                <w:sz w:val="21"/>
                <w:szCs w:val="21"/>
                <w:lang w:val="en-US" w:eastAsia="zh-CN" w:bidi="ar"/>
              </w:rPr>
              <w:t>（预计）</w:t>
            </w:r>
          </w:p>
        </w:tc>
        <w:tc>
          <w:tcPr>
            <w:tcW w:w="1800" w:type="dxa"/>
            <w:tcBorders>
              <w:top w:val="single" w:color="auto" w:sz="4" w:space="0"/>
              <w:left w:val="single" w:color="auto" w:sz="4" w:space="0"/>
              <w:bottom w:val="single" w:color="000000" w:sz="4" w:space="0"/>
              <w:right w:val="single" w:color="000000" w:sz="4" w:space="0"/>
            </w:tcBorders>
            <w:shd w:val="clear" w:color="auto" w:fill="auto"/>
            <w:noWrap/>
            <w:vAlign w:val="center"/>
          </w:tcPr>
          <w:p w14:paraId="164C04FB">
            <w:pPr>
              <w:keepNext w:val="0"/>
              <w:keepLines w:val="0"/>
              <w:pageBreakBefore w:val="0"/>
              <w:widowControl/>
              <w:suppressLineNumbers w:val="0"/>
              <w:kinsoku/>
              <w:wordWrap/>
              <w:overflowPunct/>
              <w:topLinePunct w:val="0"/>
              <w:autoSpaceDE/>
              <w:autoSpaceDN/>
              <w:bidi w:val="0"/>
              <w:adjustRightInd w:val="0"/>
              <w:snapToGrid w:val="0"/>
              <w:ind w:left="-71" w:leftChars="-34" w:right="-71" w:rightChars="-34"/>
              <w:jc w:val="center"/>
              <w:textAlignment w:val="center"/>
              <w:rPr>
                <w:rStyle w:val="9"/>
                <w:rFonts w:hint="eastAsia"/>
                <w:color w:val="auto"/>
                <w:sz w:val="21"/>
                <w:szCs w:val="21"/>
                <w:lang w:val="en-US" w:eastAsia="zh-CN" w:bidi="ar"/>
              </w:rPr>
            </w:pPr>
            <w:r>
              <w:rPr>
                <w:rStyle w:val="9"/>
                <w:rFonts w:hint="eastAsia"/>
                <w:color w:val="auto"/>
                <w:sz w:val="21"/>
                <w:szCs w:val="21"/>
                <w:lang w:val="en-US" w:eastAsia="zh-CN" w:bidi="ar"/>
              </w:rPr>
              <w:t>2025年</w:t>
            </w:r>
          </w:p>
          <w:p w14:paraId="304BE9F8">
            <w:pPr>
              <w:keepNext w:val="0"/>
              <w:keepLines w:val="0"/>
              <w:pageBreakBefore w:val="0"/>
              <w:widowControl/>
              <w:suppressLineNumbers w:val="0"/>
              <w:kinsoku/>
              <w:wordWrap/>
              <w:overflowPunct/>
              <w:topLinePunct w:val="0"/>
              <w:autoSpaceDE/>
              <w:autoSpaceDN/>
              <w:bidi w:val="0"/>
              <w:adjustRightInd w:val="0"/>
              <w:snapToGrid w:val="0"/>
              <w:ind w:left="-71" w:leftChars="-34" w:right="-71" w:rightChars="-34"/>
              <w:jc w:val="center"/>
              <w:textAlignment w:val="center"/>
              <w:rPr>
                <w:rFonts w:hint="default" w:ascii="宋体" w:hAnsi="宋体" w:eastAsia="宋体" w:cs="宋体"/>
                <w:color w:val="auto"/>
                <w:kern w:val="2"/>
                <w:sz w:val="21"/>
                <w:szCs w:val="21"/>
                <w:u w:val="none"/>
                <w:lang w:val="en-US" w:eastAsia="zh-CN" w:bidi="ar"/>
              </w:rPr>
            </w:pPr>
            <w:r>
              <w:rPr>
                <w:rStyle w:val="9"/>
                <w:rFonts w:hint="eastAsia"/>
                <w:color w:val="auto"/>
                <w:sz w:val="21"/>
                <w:szCs w:val="21"/>
                <w:lang w:val="en-US" w:eastAsia="zh-CN" w:bidi="ar"/>
              </w:rPr>
              <w:t>（预计）</w:t>
            </w:r>
          </w:p>
        </w:tc>
      </w:tr>
      <w:tr w14:paraId="199BDF8E">
        <w:tblPrEx>
          <w:shd w:val="clear" w:color="auto" w:fill="auto"/>
          <w:tblCellMar>
            <w:top w:w="0" w:type="dxa"/>
            <w:left w:w="108" w:type="dxa"/>
            <w:bottom w:w="0" w:type="dxa"/>
            <w:right w:w="108" w:type="dxa"/>
          </w:tblCellMar>
        </w:tblPrEx>
        <w:trPr>
          <w:trHeight w:val="669"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96B45">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7B112">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广西中马钦州产业园区开发有限公司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7E2BBF3">
            <w:pPr>
              <w:keepNext w:val="0"/>
              <w:keepLines w:val="0"/>
              <w:widowControl/>
              <w:suppressLineNumbers w:val="0"/>
              <w:jc w:val="left"/>
              <w:textAlignment w:val="center"/>
              <w:rPr>
                <w:rStyle w:val="9"/>
                <w:rFonts w:hint="default"/>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市政项目建设及回购，房产出租</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256CB2C">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196,406</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B35A609">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4,809</w:t>
            </w:r>
          </w:p>
        </w:tc>
      </w:tr>
      <w:tr w14:paraId="798F1E24">
        <w:tblPrEx>
          <w:shd w:val="clear" w:color="auto" w:fill="auto"/>
          <w:tblCellMar>
            <w:top w:w="0" w:type="dxa"/>
            <w:left w:w="108" w:type="dxa"/>
            <w:bottom w:w="0" w:type="dxa"/>
            <w:right w:w="108" w:type="dxa"/>
          </w:tblCellMar>
        </w:tblPrEx>
        <w:trPr>
          <w:trHeight w:val="442"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9130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57FA9">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广西孔雀湾投资开发有限公司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BA0191B">
            <w:pPr>
              <w:keepNext w:val="0"/>
              <w:keepLines w:val="0"/>
              <w:widowControl/>
              <w:suppressLineNumbers w:val="0"/>
              <w:jc w:val="left"/>
              <w:textAlignment w:val="center"/>
              <w:rPr>
                <w:rStyle w:val="9"/>
                <w:rFonts w:hint="default"/>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房地产销售及出租</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BFA098B">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63,301</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4EF34F0">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3,001</w:t>
            </w:r>
          </w:p>
        </w:tc>
      </w:tr>
      <w:tr w14:paraId="487795E4">
        <w:tblPrEx>
          <w:shd w:val="clear" w:color="auto" w:fill="auto"/>
          <w:tblCellMar>
            <w:top w:w="0" w:type="dxa"/>
            <w:left w:w="108" w:type="dxa"/>
            <w:bottom w:w="0" w:type="dxa"/>
            <w:right w:w="108" w:type="dxa"/>
          </w:tblCellMar>
        </w:tblPrEx>
        <w:trPr>
          <w:trHeight w:val="669"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56B8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EFF5E">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广西钦州孔雀湾物业服务有限公司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07C6341">
            <w:pPr>
              <w:keepNext w:val="0"/>
              <w:keepLines w:val="0"/>
              <w:widowControl/>
              <w:suppressLineNumbers w:val="0"/>
              <w:jc w:val="left"/>
              <w:textAlignment w:val="center"/>
              <w:rPr>
                <w:rStyle w:val="9"/>
                <w:rFonts w:hint="default"/>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物业服务</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1B5623B">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367</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1CF87EB">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585</w:t>
            </w:r>
          </w:p>
        </w:tc>
      </w:tr>
      <w:tr w14:paraId="19D2672D">
        <w:tblPrEx>
          <w:tblCellMar>
            <w:top w:w="0" w:type="dxa"/>
            <w:left w:w="108" w:type="dxa"/>
            <w:bottom w:w="0" w:type="dxa"/>
            <w:right w:w="108" w:type="dxa"/>
          </w:tblCellMar>
        </w:tblPrEx>
        <w:trPr>
          <w:trHeight w:val="669"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9A386">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E8D2A">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广西中马钦州产业园区孔雀湾混凝土有限公司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B392A6C">
            <w:pPr>
              <w:keepNext w:val="0"/>
              <w:keepLines w:val="0"/>
              <w:widowControl/>
              <w:suppressLineNumbers w:val="0"/>
              <w:jc w:val="left"/>
              <w:textAlignment w:val="center"/>
              <w:rPr>
                <w:rStyle w:val="9"/>
                <w:rFonts w:hint="default"/>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混凝土生产及销售</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8B462A7">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5,081</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3E0C692">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4,120</w:t>
            </w:r>
          </w:p>
        </w:tc>
      </w:tr>
      <w:tr w14:paraId="4F855A95">
        <w:tblPrEx>
          <w:shd w:val="clear" w:color="auto" w:fill="auto"/>
          <w:tblCellMar>
            <w:top w:w="0" w:type="dxa"/>
            <w:left w:w="108" w:type="dxa"/>
            <w:bottom w:w="0" w:type="dxa"/>
            <w:right w:w="108" w:type="dxa"/>
          </w:tblCellMar>
        </w:tblPrEx>
        <w:trPr>
          <w:trHeight w:val="669"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DF52C">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8A2C0">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广西孔雀湾建设工程有限公司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144AF7A">
            <w:pPr>
              <w:keepNext w:val="0"/>
              <w:keepLines w:val="0"/>
              <w:widowControl/>
              <w:suppressLineNumbers w:val="0"/>
              <w:jc w:val="left"/>
              <w:textAlignment w:val="center"/>
              <w:rPr>
                <w:rStyle w:val="9"/>
                <w:rFonts w:hint="default"/>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园林绿化施工、养护及其他建设工程</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8DD7705">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5,376</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18A9304">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5,077</w:t>
            </w:r>
          </w:p>
        </w:tc>
      </w:tr>
      <w:tr w14:paraId="7A55D6C4">
        <w:tblPrEx>
          <w:shd w:val="clear" w:color="auto" w:fill="auto"/>
          <w:tblCellMar>
            <w:top w:w="0" w:type="dxa"/>
            <w:left w:w="108" w:type="dxa"/>
            <w:bottom w:w="0" w:type="dxa"/>
            <w:right w:w="108" w:type="dxa"/>
          </w:tblCellMar>
        </w:tblPrEx>
        <w:trPr>
          <w:trHeight w:val="669"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75F35">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982CE">
            <w:pPr>
              <w:keepNext w:val="0"/>
              <w:keepLines w:val="0"/>
              <w:widowControl/>
              <w:suppressLineNumbers w:val="0"/>
              <w:jc w:val="left"/>
              <w:textAlignment w:val="center"/>
              <w:rPr>
                <w:rFonts w:hint="eastAsia" w:ascii="宋体" w:hAnsi="宋体" w:eastAsia="宋体" w:cs="宋体"/>
                <w:color w:val="auto"/>
                <w:kern w:val="2"/>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广西中马钦丹产业服务有限公司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3214FDA">
            <w:pPr>
              <w:keepNext w:val="0"/>
              <w:keepLines w:val="0"/>
              <w:widowControl/>
              <w:suppressLineNumbers w:val="0"/>
              <w:jc w:val="left"/>
              <w:textAlignment w:val="center"/>
              <w:rPr>
                <w:rStyle w:val="9"/>
                <w:rFonts w:hint="default"/>
                <w:color w:val="auto"/>
                <w:sz w:val="21"/>
                <w:szCs w:val="21"/>
                <w:highlight w:val="yellow"/>
                <w:lang w:val="en-US" w:eastAsia="zh-CN" w:bidi="ar"/>
              </w:rPr>
            </w:pPr>
            <w:r>
              <w:rPr>
                <w:rFonts w:hint="eastAsia" w:ascii="宋体" w:hAnsi="宋体" w:eastAsia="宋体" w:cs="宋体"/>
                <w:i w:val="0"/>
                <w:iCs w:val="0"/>
                <w:color w:val="000000"/>
                <w:kern w:val="0"/>
                <w:sz w:val="21"/>
                <w:szCs w:val="21"/>
                <w:u w:val="none"/>
                <w:lang w:val="en-US" w:eastAsia="zh-CN" w:bidi="ar"/>
              </w:rPr>
              <w:t>贸易业务</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9EA2D6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1,285</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D0E530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2,038</w:t>
            </w:r>
          </w:p>
        </w:tc>
      </w:tr>
      <w:tr w14:paraId="7392C595">
        <w:tblPrEx>
          <w:shd w:val="clear" w:color="auto" w:fill="auto"/>
          <w:tblCellMar>
            <w:top w:w="0" w:type="dxa"/>
            <w:left w:w="108" w:type="dxa"/>
            <w:bottom w:w="0" w:type="dxa"/>
            <w:right w:w="108" w:type="dxa"/>
          </w:tblCellMar>
        </w:tblPrEx>
        <w:trPr>
          <w:trHeight w:val="442"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2ECB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5CC65">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广西中马孔雀湾石油有限公司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6561BBB">
            <w:pPr>
              <w:keepNext w:val="0"/>
              <w:keepLines w:val="0"/>
              <w:widowControl/>
              <w:suppressLineNumbers w:val="0"/>
              <w:jc w:val="left"/>
              <w:textAlignment w:val="center"/>
              <w:rPr>
                <w:rStyle w:val="9"/>
                <w:rFonts w:hint="default"/>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成品油销售</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2ED2A3E">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2,905</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BD8C7A7">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3,823</w:t>
            </w:r>
          </w:p>
        </w:tc>
      </w:tr>
      <w:tr w14:paraId="3E56C637">
        <w:tblPrEx>
          <w:shd w:val="clear" w:color="auto" w:fill="auto"/>
          <w:tblCellMar>
            <w:top w:w="0" w:type="dxa"/>
            <w:left w:w="108" w:type="dxa"/>
            <w:bottom w:w="0" w:type="dxa"/>
            <w:right w:w="108" w:type="dxa"/>
          </w:tblCellMar>
        </w:tblPrEx>
        <w:trPr>
          <w:trHeight w:val="442" w:hRule="atLeast"/>
        </w:trPr>
        <w:tc>
          <w:tcPr>
            <w:tcW w:w="557"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D527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3153"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54CE9A">
            <w:pPr>
              <w:keepNext w:val="0"/>
              <w:keepLines w:val="0"/>
              <w:widowControl/>
              <w:suppressLineNumbers w:val="0"/>
              <w:jc w:val="left"/>
              <w:textAlignment w:val="center"/>
              <w:rPr>
                <w:rStyle w:val="9"/>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广西中马钦海石油有限公司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FFFFFF" w:themeFill="background1"/>
            <w:noWrap/>
            <w:vAlign w:val="center"/>
          </w:tcPr>
          <w:p w14:paraId="35DD6C06">
            <w:pPr>
              <w:keepNext w:val="0"/>
              <w:keepLines w:val="0"/>
              <w:widowControl/>
              <w:suppressLineNumbers w:val="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未开始经营</w:t>
            </w:r>
          </w:p>
        </w:tc>
        <w:tc>
          <w:tcPr>
            <w:tcW w:w="1777" w:type="dxa"/>
            <w:tcBorders>
              <w:top w:val="single" w:color="000000" w:sz="4" w:space="0"/>
              <w:left w:val="single" w:color="auto" w:sz="4" w:space="0"/>
              <w:bottom w:val="single" w:color="000000" w:sz="4" w:space="0"/>
              <w:right w:val="single" w:color="000000" w:sz="4" w:space="0"/>
            </w:tcBorders>
            <w:shd w:val="clear" w:color="auto" w:fill="FFFFFF" w:themeFill="background1"/>
            <w:noWrap/>
            <w:vAlign w:val="center"/>
          </w:tcPr>
          <w:p w14:paraId="119C0B87">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eastAsia" w:ascii="Times New Roman" w:hAnsi="Times New Roman" w:cs="Times New Roman"/>
                <w:i w:val="0"/>
                <w:iCs w:val="0"/>
                <w:color w:val="000000"/>
                <w:kern w:val="0"/>
                <w:sz w:val="21"/>
                <w:szCs w:val="21"/>
                <w:u w:val="none"/>
                <w:lang w:val="en-US" w:eastAsia="zh-CN" w:bidi="ar"/>
              </w:rPr>
              <w:t>1</w:t>
            </w:r>
          </w:p>
        </w:tc>
        <w:tc>
          <w:tcPr>
            <w:tcW w:w="1800" w:type="dxa"/>
            <w:tcBorders>
              <w:top w:val="single" w:color="000000" w:sz="4" w:space="0"/>
              <w:left w:val="single" w:color="auto" w:sz="4" w:space="0"/>
              <w:bottom w:val="single" w:color="000000" w:sz="4" w:space="0"/>
              <w:right w:val="single" w:color="000000" w:sz="4" w:space="0"/>
            </w:tcBorders>
            <w:shd w:val="clear" w:color="auto" w:fill="FFFFFF" w:themeFill="background1"/>
            <w:noWrap/>
            <w:vAlign w:val="center"/>
          </w:tcPr>
          <w:p w14:paraId="6927CF4F">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27D436C0">
        <w:tblPrEx>
          <w:tblCellMar>
            <w:top w:w="0" w:type="dxa"/>
            <w:left w:w="108" w:type="dxa"/>
            <w:bottom w:w="0" w:type="dxa"/>
            <w:right w:w="108" w:type="dxa"/>
          </w:tblCellMar>
        </w:tblPrEx>
        <w:trPr>
          <w:trHeight w:val="669"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A4BCA">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0C543">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广西孔雀湾友谊投资开发有限公司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9153EF1">
            <w:pPr>
              <w:keepNext w:val="0"/>
              <w:keepLines w:val="0"/>
              <w:widowControl/>
              <w:suppressLineNumbers w:val="0"/>
              <w:jc w:val="left"/>
              <w:textAlignment w:val="center"/>
              <w:rPr>
                <w:rStyle w:val="9"/>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未开始经营</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252F347">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4,476</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662E37B7">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7FFE4C23">
        <w:tblPrEx>
          <w:shd w:val="clear" w:color="auto" w:fill="auto"/>
          <w:tblCellMar>
            <w:top w:w="0" w:type="dxa"/>
            <w:left w:w="108" w:type="dxa"/>
            <w:bottom w:w="0" w:type="dxa"/>
            <w:right w:w="108" w:type="dxa"/>
          </w:tblCellMar>
        </w:tblPrEx>
        <w:trPr>
          <w:trHeight w:val="669"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4396E">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0FCD7">
            <w:pPr>
              <w:keepNext w:val="0"/>
              <w:keepLines w:val="0"/>
              <w:widowControl/>
              <w:suppressLineNumbers w:val="0"/>
              <w:jc w:val="left"/>
              <w:textAlignment w:val="center"/>
              <w:rPr>
                <w:rFonts w:hint="default" w:ascii="Times New Roman" w:hAnsi="Times New Roman" w:eastAsia="宋体" w:cs="Times New Roman"/>
                <w:i w:val="0"/>
                <w:iCs w:val="0"/>
                <w:color w:val="auto"/>
                <w:sz w:val="21"/>
                <w:szCs w:val="21"/>
                <w:u w:val="none"/>
              </w:rPr>
            </w:pPr>
            <w:r>
              <w:rPr>
                <w:rFonts w:hint="eastAsia" w:ascii="宋体" w:hAnsi="宋体" w:eastAsia="宋体" w:cs="宋体"/>
                <w:i w:val="0"/>
                <w:iCs w:val="0"/>
                <w:color w:val="000000"/>
                <w:kern w:val="0"/>
                <w:sz w:val="21"/>
                <w:szCs w:val="21"/>
                <w:u w:val="none"/>
                <w:lang w:val="en-US" w:eastAsia="zh-CN" w:bidi="ar"/>
              </w:rPr>
              <w:t>广西孔雀湾锦绣投资开发有限公司</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E196FE3">
            <w:pPr>
              <w:keepNext w:val="0"/>
              <w:keepLines w:val="0"/>
              <w:widowControl/>
              <w:suppressLineNumbers w:val="0"/>
              <w:jc w:val="left"/>
              <w:textAlignment w:val="center"/>
              <w:rPr>
                <w:rStyle w:val="9"/>
                <w:color w:val="auto"/>
                <w:sz w:val="21"/>
                <w:szCs w:val="21"/>
                <w:lang w:val="en-US" w:eastAsia="zh-CN" w:bidi="ar"/>
              </w:rPr>
            </w:pPr>
            <w:r>
              <w:rPr>
                <w:rFonts w:hint="eastAsia" w:ascii="宋体" w:hAnsi="宋体" w:eastAsia="宋体" w:cs="宋体"/>
                <w:i w:val="0"/>
                <w:iCs w:val="0"/>
                <w:color w:val="000000"/>
                <w:kern w:val="0"/>
                <w:sz w:val="21"/>
                <w:szCs w:val="21"/>
                <w:u w:val="none"/>
                <w:lang w:val="en-US" w:eastAsia="zh-CN" w:bidi="ar"/>
              </w:rPr>
              <w:t>未开始经营</w:t>
            </w: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66A8A09">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3,493</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3479233">
            <w:pPr>
              <w:keepNext w:val="0"/>
              <w:keepLines w:val="0"/>
              <w:widowControl/>
              <w:suppressLineNumbers w:val="0"/>
              <w:jc w:val="center"/>
              <w:textAlignment w:val="center"/>
              <w:rPr>
                <w:rStyle w:val="9"/>
                <w:rFonts w:hint="default" w:ascii="Times New Roman" w:hAnsi="Times New Roman" w:cs="Times New Roman"/>
                <w:color w:val="auto"/>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14:paraId="6DB3C43B">
        <w:tblPrEx>
          <w:shd w:val="clear" w:color="auto" w:fill="auto"/>
          <w:tblCellMar>
            <w:top w:w="0" w:type="dxa"/>
            <w:left w:w="108" w:type="dxa"/>
            <w:bottom w:w="0" w:type="dxa"/>
            <w:right w:w="108" w:type="dxa"/>
          </w:tblCellMar>
        </w:tblPrEx>
        <w:trPr>
          <w:trHeight w:val="482"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1CFB1">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p>
        </w:tc>
        <w:tc>
          <w:tcPr>
            <w:tcW w:w="31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0FBC7">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Times New Roman" w:hAnsi="Times New Roman" w:eastAsia="宋体" w:cs="Times New Roman"/>
                <w:i w:val="0"/>
                <w:iCs w:val="0"/>
                <w:color w:val="000000"/>
                <w:sz w:val="21"/>
                <w:szCs w:val="21"/>
                <w:highlight w:val="none"/>
                <w:u w:val="none"/>
                <w:lang w:val="en-US" w:eastAsia="zh-CN"/>
              </w:rPr>
              <w:t>抵消后合并</w:t>
            </w:r>
          </w:p>
        </w:tc>
        <w:tc>
          <w:tcPr>
            <w:tcW w:w="196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E2C3B2A">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p>
        </w:tc>
        <w:tc>
          <w:tcPr>
            <w:tcW w:w="1777"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7B497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b w:val="0"/>
                <w:bCs w:val="0"/>
                <w:i w:val="0"/>
                <w:iCs w:val="0"/>
                <w:color w:val="000000"/>
                <w:kern w:val="0"/>
                <w:sz w:val="21"/>
                <w:szCs w:val="21"/>
                <w:u w:val="none"/>
                <w:lang w:val="en-US" w:eastAsia="zh-CN" w:bidi="ar"/>
              </w:rPr>
              <w:t>222,733</w:t>
            </w:r>
          </w:p>
        </w:tc>
        <w:tc>
          <w:tcPr>
            <w:tcW w:w="180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125E0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b w:val="0"/>
                <w:bCs w:val="0"/>
                <w:i w:val="0"/>
                <w:iCs w:val="0"/>
                <w:color w:val="000000"/>
                <w:kern w:val="0"/>
                <w:sz w:val="21"/>
                <w:szCs w:val="21"/>
                <w:u w:val="none"/>
                <w:lang w:val="en-US" w:eastAsia="zh-CN" w:bidi="ar"/>
              </w:rPr>
              <w:t>23,363</w:t>
            </w:r>
          </w:p>
        </w:tc>
      </w:tr>
    </w:tbl>
    <w:p w14:paraId="449A2533">
      <w:pPr>
        <w:keepNext/>
        <w:keepLines w:val="0"/>
        <w:pageBreakBefore w:val="0"/>
        <w:widowControl w:val="0"/>
        <w:kinsoku/>
        <w:wordWrap/>
        <w:overflowPunct/>
        <w:topLinePunct w:val="0"/>
        <w:autoSpaceDE/>
        <w:autoSpaceDN/>
        <w:bidi w:val="0"/>
        <w:adjustRightInd w:val="0"/>
        <w:snapToGrid w:val="0"/>
        <w:spacing w:before="162" w:beforeLines="50" w:line="540" w:lineRule="exact"/>
        <w:ind w:right="0" w:rightChars="0" w:firstLine="0" w:firstLineChars="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备注：另有注册在马来西亚的子公司“中马钦州产业园区（马来西亚）开发公司”不需要单独出具审计报告，但需要列入广西中马钦州产业园区开发有限公司的合并范围。中马钦州产业园区（马来西亚）开发公司2025年预计的资产总额为96万元，预计营业收入为160万元。</w:t>
      </w:r>
    </w:p>
    <w:p w14:paraId="02EB0D7B">
      <w:pPr>
        <w:keepNext/>
        <w:keepLines w:val="0"/>
        <w:pageBreakBefore w:val="0"/>
        <w:widowControl w:val="0"/>
        <w:kinsoku/>
        <w:wordWrap/>
        <w:overflowPunct/>
        <w:topLinePunct w:val="0"/>
        <w:autoSpaceDE/>
        <w:autoSpaceDN/>
        <w:bidi w:val="0"/>
        <w:adjustRightInd w:val="0"/>
        <w:snapToGrid w:val="0"/>
        <w:spacing w:before="162" w:beforeLines="50"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（二）服务内容：</w:t>
      </w:r>
    </w:p>
    <w:p w14:paraId="234AFD01">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1.对以下财务报表及附注进行审计：</w:t>
      </w:r>
    </w:p>
    <w:p w14:paraId="36EF49EB">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（1）2025年12月31日资产负债表；</w:t>
      </w:r>
    </w:p>
    <w:p w14:paraId="5583624F">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（2）2025年12月31日合并资产负债表；</w:t>
      </w:r>
    </w:p>
    <w:p w14:paraId="1DA2348A">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（3）2025年利润表；</w:t>
      </w:r>
    </w:p>
    <w:p w14:paraId="468402CA">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（4）2025年合并利润表；</w:t>
      </w:r>
    </w:p>
    <w:p w14:paraId="17FADFB2">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（5）2025年现金流量表；</w:t>
      </w:r>
    </w:p>
    <w:p w14:paraId="5D443A1A">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（6）2025年合并现金流量表；</w:t>
      </w:r>
    </w:p>
    <w:p w14:paraId="391A074B">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（7）2025年所有者权益变动表；</w:t>
      </w:r>
    </w:p>
    <w:p w14:paraId="59A39710">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（8）2025年合并所有者权益变动表；</w:t>
      </w:r>
    </w:p>
    <w:p w14:paraId="4B9400D2">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（9）2025年财务报表附注；</w:t>
      </w:r>
    </w:p>
    <w:p w14:paraId="2EA40C6E">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（10）2025年合并财务报表附注。</w:t>
      </w:r>
    </w:p>
    <w:p w14:paraId="710BFD72">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2.对截至2025年12月31日按照《企业内部控制基本规范》和相关规定建立的内部控制设计与</w:t>
      </w:r>
      <w:r>
        <w:rPr>
          <w:rFonts w:hint="eastAsia" w:ascii="Times New Roman" w:hAnsi="仿宋" w:eastAsia="仿宋"/>
          <w:color w:val="auto"/>
          <w:sz w:val="30"/>
          <w:szCs w:val="30"/>
          <w:highlight w:val="none"/>
          <w:lang w:val="en-US" w:eastAsia="zh-CN"/>
        </w:rPr>
        <w:t>运行</w:t>
      </w:r>
      <w:r>
        <w:rPr>
          <w:rFonts w:hint="eastAsia" w:ascii="Times New Roman" w:hAnsi="仿宋" w:eastAsia="仿宋"/>
          <w:color w:val="auto"/>
          <w:sz w:val="30"/>
          <w:szCs w:val="30"/>
          <w:lang w:val="en-US" w:eastAsia="zh-CN"/>
        </w:rPr>
        <w:t>进行审计，并对其有效性发表审计意见。</w:t>
      </w:r>
    </w:p>
    <w:p w14:paraId="4CCF4CFA">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textAlignment w:val="auto"/>
        <w:rPr>
          <w:rFonts w:hint="eastAsia" w:ascii="黑体" w:hAnsi="黑体" w:eastAsia="黑体"/>
          <w:color w:val="auto"/>
          <w:sz w:val="30"/>
          <w:szCs w:val="30"/>
          <w:lang w:eastAsia="zh-CN"/>
        </w:rPr>
      </w:pPr>
      <w:r>
        <w:rPr>
          <w:rFonts w:ascii="黑体" w:hAnsi="黑体" w:eastAsia="黑体"/>
          <w:color w:val="auto"/>
          <w:sz w:val="30"/>
          <w:szCs w:val="30"/>
        </w:rPr>
        <w:t>二、</w:t>
      </w:r>
      <w:r>
        <w:rPr>
          <w:rFonts w:hint="eastAsia" w:ascii="黑体" w:hAnsi="黑体" w:eastAsia="黑体"/>
          <w:color w:val="auto"/>
          <w:sz w:val="30"/>
          <w:szCs w:val="30"/>
          <w:lang w:val="en-US" w:eastAsia="zh-CN"/>
        </w:rPr>
        <w:t>服务成果</w:t>
      </w:r>
    </w:p>
    <w:p w14:paraId="6F8DEE4B">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（一）按照中国注册会计师审计准则规定的格式和类型出具财务报表审计报告及管理建议书，其中母公司合并报表审计报告及管理建议书中文版、英文版各一式五份，合并范围子公司审计报告中文版一式三份。</w:t>
      </w:r>
    </w:p>
    <w:p w14:paraId="5098A347">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黑体" w:hAnsi="黑体" w:eastAsia="黑体"/>
          <w:color w:val="auto"/>
          <w:sz w:val="30"/>
          <w:szCs w:val="30"/>
          <w:lang w:val="en-US" w:eastAsia="zh-CN"/>
        </w:rPr>
      </w:pPr>
      <w:r>
        <w:rPr>
          <w:rFonts w:hint="eastAsia" w:ascii="Times New Roman" w:hAnsi="仿宋" w:eastAsia="仿宋"/>
          <w:color w:val="auto"/>
          <w:sz w:val="30"/>
          <w:szCs w:val="30"/>
          <w:lang w:val="en-US" w:eastAsia="zh-CN"/>
        </w:rPr>
        <w:t>（二）按照《企业内部控制基本规范》及《企业内部控制审计指引》的要求出具内部控制审计报告，中、英文版各一式三份。</w:t>
      </w:r>
    </w:p>
    <w:p w14:paraId="2CF31190">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textAlignment w:val="auto"/>
        <w:rPr>
          <w:rFonts w:ascii="黑体" w:hAnsi="黑体" w:eastAsia="黑体"/>
          <w:color w:val="auto"/>
          <w:sz w:val="30"/>
          <w:szCs w:val="30"/>
        </w:rPr>
      </w:pPr>
      <w:r>
        <w:rPr>
          <w:rFonts w:hint="eastAsia" w:ascii="黑体" w:hAnsi="黑体" w:eastAsia="黑体"/>
          <w:color w:val="auto"/>
          <w:sz w:val="30"/>
          <w:szCs w:val="30"/>
          <w:lang w:val="en-US" w:eastAsia="zh-CN"/>
        </w:rPr>
        <w:t>三</w:t>
      </w:r>
      <w:r>
        <w:rPr>
          <w:rFonts w:ascii="黑体" w:hAnsi="黑体" w:eastAsia="黑体"/>
          <w:color w:val="auto"/>
          <w:sz w:val="30"/>
          <w:szCs w:val="30"/>
        </w:rPr>
        <w:t>、</w:t>
      </w:r>
      <w:r>
        <w:rPr>
          <w:rFonts w:hint="eastAsia" w:ascii="黑体" w:hAnsi="黑体" w:eastAsia="黑体"/>
          <w:color w:val="auto"/>
          <w:sz w:val="30"/>
          <w:szCs w:val="30"/>
          <w:lang w:val="en-US" w:eastAsia="zh-CN"/>
        </w:rPr>
        <w:t>服务</w:t>
      </w:r>
      <w:r>
        <w:rPr>
          <w:rFonts w:ascii="黑体" w:hAnsi="黑体" w:eastAsia="黑体"/>
          <w:color w:val="auto"/>
          <w:sz w:val="30"/>
          <w:szCs w:val="30"/>
        </w:rPr>
        <w:t>要求</w:t>
      </w:r>
    </w:p>
    <w:p w14:paraId="31F94426">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（一）中期现场审计自2025年11月10日之前开始进行。</w:t>
      </w:r>
    </w:p>
    <w:p w14:paraId="373624FE">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（二）年终现场审计自2026年1月4日之前开始进行。</w:t>
      </w:r>
    </w:p>
    <w:p w14:paraId="726A7EC0">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（三）审计报表定稿数据（中文版）2026年1月6日之前完成。</w:t>
      </w:r>
    </w:p>
    <w:p w14:paraId="51B90517">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（四）财务报表审计报告初稿（中文版）在2026年2月6日之前完成。</w:t>
      </w:r>
    </w:p>
    <w:p w14:paraId="62A1054E">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（五）财务报表审计报告定稿及管理建议书（中文版）在2026年2月28日之前完成。</w:t>
      </w:r>
    </w:p>
    <w:p w14:paraId="5063C6E6">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（六）财务报表审计报告定稿及管理建议书（英文版）在2026年3月6日之前完成。</w:t>
      </w:r>
    </w:p>
    <w:p w14:paraId="337D7CD0">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（七）内部控制审计报告定稿（中、英文版）在2026年3月6日之前完成。</w:t>
      </w:r>
    </w:p>
    <w:p w14:paraId="19B0024F">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Times New Roman" w:hAnsi="仿宋" w:eastAsia="仿宋"/>
          <w:color w:val="auto"/>
          <w:sz w:val="30"/>
          <w:szCs w:val="30"/>
          <w:highlight w:val="none"/>
          <w:lang w:val="en-US" w:eastAsia="zh-CN"/>
        </w:rPr>
      </w:pPr>
      <w:r>
        <w:rPr>
          <w:rFonts w:hint="eastAsia" w:ascii="Times New Roman" w:hAnsi="仿宋" w:eastAsia="仿宋"/>
          <w:color w:val="auto"/>
          <w:sz w:val="30"/>
          <w:szCs w:val="30"/>
          <w:lang w:val="en-US" w:eastAsia="zh-CN"/>
        </w:rPr>
        <w:t>（八）以上审计报告及管理建议书在公司审计委员会会议审议时，服务单位按要求安排审计人员列席（可视频参会），对会上提出的相关疑问进行解答。</w:t>
      </w:r>
    </w:p>
    <w:p w14:paraId="7ACE9D5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黑体" w:hAnsi="黑体" w:eastAsia="黑体"/>
          <w:color w:val="auto"/>
          <w:sz w:val="30"/>
          <w:szCs w:val="30"/>
        </w:rPr>
      </w:pPr>
      <w:r>
        <w:rPr>
          <w:rFonts w:hint="eastAsia" w:ascii="黑体" w:hAnsi="黑体" w:eastAsia="黑体"/>
          <w:color w:val="auto"/>
          <w:sz w:val="30"/>
          <w:szCs w:val="30"/>
          <w:lang w:val="en-US" w:eastAsia="zh-CN"/>
        </w:rPr>
        <w:t>四</w:t>
      </w:r>
      <w:r>
        <w:rPr>
          <w:rFonts w:ascii="黑体" w:hAnsi="黑体" w:eastAsia="黑体"/>
          <w:color w:val="auto"/>
          <w:sz w:val="30"/>
          <w:szCs w:val="30"/>
        </w:rPr>
        <w:t>、报价单位要求</w:t>
      </w:r>
    </w:p>
    <w:p w14:paraId="5F4EB548">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（一）中国境内具有法定资格的会计师事务所。</w:t>
      </w:r>
    </w:p>
    <w:p w14:paraId="5C8651BD">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（二）有固定的工作场所、健全的组织架构、完善的质量控制制度和风险管理制度。</w:t>
      </w:r>
    </w:p>
    <w:p w14:paraId="12D0D6B6">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Times New Roman" w:hAnsi="仿宋" w:eastAsia="仿宋"/>
          <w:color w:val="auto"/>
          <w:sz w:val="30"/>
          <w:szCs w:val="30"/>
          <w:highlight w:val="none"/>
          <w:lang w:val="en-US" w:eastAsia="zh-CN"/>
        </w:rPr>
      </w:pPr>
      <w:r>
        <w:rPr>
          <w:rFonts w:hint="eastAsia" w:ascii="Times New Roman" w:hAnsi="仿宋" w:eastAsia="仿宋"/>
          <w:color w:val="auto"/>
          <w:sz w:val="30"/>
          <w:szCs w:val="30"/>
          <w:lang w:val="en-US" w:eastAsia="zh-CN"/>
        </w:rPr>
        <w:t>（三）</w:t>
      </w:r>
      <w:r>
        <w:rPr>
          <w:rFonts w:hint="default" w:ascii="Times New Roman" w:hAnsi="仿宋" w:eastAsia="仿宋"/>
          <w:color w:val="auto"/>
          <w:sz w:val="30"/>
          <w:szCs w:val="30"/>
          <w:highlight w:val="none"/>
          <w:lang w:val="en-US" w:eastAsia="zh-CN"/>
        </w:rPr>
        <w:t>具有履行合同所必须的专业技术能力</w:t>
      </w:r>
      <w:r>
        <w:rPr>
          <w:rFonts w:hint="eastAsia" w:ascii="Times New Roman" w:hAnsi="仿宋" w:eastAsia="仿宋"/>
          <w:color w:val="auto"/>
          <w:sz w:val="30"/>
          <w:szCs w:val="30"/>
          <w:highlight w:val="none"/>
          <w:lang w:val="en-US" w:eastAsia="zh-CN"/>
        </w:rPr>
        <w:t>，及</w:t>
      </w:r>
      <w:r>
        <w:rPr>
          <w:rFonts w:hint="default" w:ascii="Times New Roman" w:hAnsi="仿宋" w:eastAsia="仿宋"/>
          <w:color w:val="auto"/>
          <w:sz w:val="30"/>
          <w:szCs w:val="30"/>
          <w:highlight w:val="none"/>
          <w:lang w:val="en-US" w:eastAsia="zh-CN"/>
        </w:rPr>
        <w:t>丰富的执业经验。</w:t>
      </w:r>
    </w:p>
    <w:p w14:paraId="2478455F">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Times New Roman" w:hAnsi="仿宋" w:eastAsia="仿宋"/>
          <w:color w:val="auto"/>
          <w:sz w:val="30"/>
          <w:szCs w:val="30"/>
          <w:highlight w:val="none"/>
          <w:lang w:val="en-US" w:eastAsia="zh-CN"/>
        </w:rPr>
      </w:pPr>
      <w:r>
        <w:rPr>
          <w:rFonts w:hint="eastAsia" w:ascii="Times New Roman" w:hAnsi="仿宋" w:eastAsia="仿宋"/>
          <w:color w:val="auto"/>
          <w:sz w:val="30"/>
          <w:szCs w:val="30"/>
          <w:highlight w:val="none"/>
          <w:lang w:val="en-US" w:eastAsia="zh-CN"/>
        </w:rPr>
        <w:t>（四）2022-2024年平均鉴证业务收入不小于300万元（不含一起核算的其他业务收入）。</w:t>
      </w:r>
    </w:p>
    <w:p w14:paraId="4712ED3E">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default"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（五）</w:t>
      </w:r>
      <w:r>
        <w:rPr>
          <w:rFonts w:hint="default" w:ascii="Times New Roman" w:hAnsi="仿宋" w:eastAsia="仿宋"/>
          <w:color w:val="auto"/>
          <w:sz w:val="30"/>
          <w:szCs w:val="30"/>
          <w:lang w:val="en-US" w:eastAsia="zh-CN"/>
        </w:rPr>
        <w:t>有良好的诚信记录，近</w:t>
      </w:r>
      <w:r>
        <w:rPr>
          <w:rFonts w:hint="eastAsia" w:ascii="Times New Roman" w:hAnsi="仿宋" w:eastAsia="仿宋"/>
          <w:color w:val="auto"/>
          <w:sz w:val="30"/>
          <w:szCs w:val="30"/>
          <w:lang w:val="en-US" w:eastAsia="zh-CN"/>
        </w:rPr>
        <w:t>3</w:t>
      </w:r>
      <w:r>
        <w:rPr>
          <w:rFonts w:hint="default" w:ascii="Times New Roman" w:hAnsi="仿宋" w:eastAsia="仿宋"/>
          <w:color w:val="auto"/>
          <w:sz w:val="30"/>
          <w:szCs w:val="30"/>
          <w:lang w:val="en-US" w:eastAsia="zh-CN"/>
        </w:rPr>
        <w:t>年在经营活动中无</w:t>
      </w:r>
      <w:r>
        <w:rPr>
          <w:rFonts w:hint="eastAsia" w:ascii="Times New Roman" w:hAnsi="仿宋" w:eastAsia="仿宋"/>
          <w:color w:val="auto"/>
          <w:sz w:val="30"/>
          <w:szCs w:val="30"/>
          <w:lang w:val="en-US" w:eastAsia="zh-CN"/>
        </w:rPr>
        <w:t>严重</w:t>
      </w:r>
      <w:r>
        <w:rPr>
          <w:rFonts w:hint="default" w:ascii="Times New Roman" w:hAnsi="仿宋" w:eastAsia="仿宋"/>
          <w:color w:val="auto"/>
          <w:sz w:val="30"/>
          <w:szCs w:val="30"/>
          <w:lang w:val="en-US" w:eastAsia="zh-CN"/>
        </w:rPr>
        <w:t>违规违纪</w:t>
      </w:r>
      <w:r>
        <w:rPr>
          <w:rFonts w:hint="eastAsia" w:ascii="Times New Roman" w:hAnsi="仿宋" w:eastAsia="仿宋"/>
          <w:color w:val="auto"/>
          <w:sz w:val="30"/>
          <w:szCs w:val="30"/>
          <w:lang w:val="en-US" w:eastAsia="zh-CN"/>
        </w:rPr>
        <w:t>记录及</w:t>
      </w:r>
      <w:r>
        <w:rPr>
          <w:rFonts w:hint="default" w:ascii="Times New Roman" w:hAnsi="仿宋" w:eastAsia="仿宋"/>
          <w:color w:val="auto"/>
          <w:sz w:val="30"/>
          <w:szCs w:val="30"/>
          <w:lang w:val="en-US" w:eastAsia="zh-CN"/>
        </w:rPr>
        <w:t>违法</w:t>
      </w:r>
      <w:r>
        <w:rPr>
          <w:rFonts w:hint="eastAsia" w:ascii="Times New Roman" w:hAnsi="仿宋" w:eastAsia="仿宋"/>
          <w:color w:val="auto"/>
          <w:sz w:val="30"/>
          <w:szCs w:val="30"/>
          <w:lang w:val="en-US" w:eastAsia="zh-CN"/>
        </w:rPr>
        <w:t>的</w:t>
      </w:r>
      <w:r>
        <w:rPr>
          <w:rFonts w:hint="default" w:ascii="Times New Roman" w:hAnsi="仿宋" w:eastAsia="仿宋"/>
          <w:color w:val="auto"/>
          <w:sz w:val="30"/>
          <w:szCs w:val="30"/>
          <w:lang w:val="en-US" w:eastAsia="zh-CN"/>
        </w:rPr>
        <w:t>记录。</w:t>
      </w:r>
    </w:p>
    <w:p w14:paraId="59ACB1FD">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textAlignment w:val="auto"/>
        <w:rPr>
          <w:rFonts w:ascii="黑体" w:hAnsi="黑体" w:eastAsia="黑体"/>
          <w:color w:val="auto"/>
          <w:sz w:val="30"/>
          <w:szCs w:val="30"/>
        </w:rPr>
      </w:pPr>
      <w:r>
        <w:rPr>
          <w:rFonts w:hint="eastAsia" w:ascii="黑体" w:hAnsi="黑体" w:eastAsia="黑体"/>
          <w:color w:val="auto"/>
          <w:sz w:val="30"/>
          <w:szCs w:val="30"/>
          <w:lang w:val="en-US" w:eastAsia="zh-CN"/>
        </w:rPr>
        <w:t>五</w:t>
      </w:r>
      <w:r>
        <w:rPr>
          <w:rFonts w:ascii="黑体" w:hAnsi="黑体" w:eastAsia="黑体"/>
          <w:color w:val="auto"/>
          <w:sz w:val="30"/>
          <w:szCs w:val="30"/>
        </w:rPr>
        <w:t>、比选须知</w:t>
      </w:r>
    </w:p>
    <w:p w14:paraId="1470EA85">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textAlignment w:val="auto"/>
        <w:rPr>
          <w:rFonts w:ascii="Times New Roman" w:hAnsi="Times New Roman" w:eastAsia="仿宋"/>
          <w:color w:val="auto"/>
          <w:sz w:val="30"/>
          <w:szCs w:val="30"/>
        </w:rPr>
      </w:pPr>
      <w:r>
        <w:rPr>
          <w:rFonts w:ascii="Times New Roman" w:hAnsi="仿宋" w:eastAsia="仿宋"/>
          <w:color w:val="auto"/>
          <w:sz w:val="30"/>
          <w:szCs w:val="30"/>
        </w:rPr>
        <w:t>（</w:t>
      </w:r>
      <w:r>
        <w:rPr>
          <w:rFonts w:hint="eastAsia" w:ascii="Times New Roman" w:hAnsi="仿宋" w:eastAsia="仿宋"/>
          <w:color w:val="auto"/>
          <w:sz w:val="30"/>
          <w:szCs w:val="30"/>
          <w:lang w:val="en-US" w:eastAsia="zh-CN"/>
        </w:rPr>
        <w:t>一</w:t>
      </w:r>
      <w:r>
        <w:rPr>
          <w:rFonts w:ascii="Times New Roman" w:hAnsi="仿宋" w:eastAsia="仿宋"/>
          <w:color w:val="auto"/>
          <w:sz w:val="30"/>
          <w:szCs w:val="30"/>
        </w:rPr>
        <w:t>）</w:t>
      </w:r>
      <w:r>
        <w:rPr>
          <w:rFonts w:hint="eastAsia" w:ascii="Times New Roman" w:hAnsi="仿宋" w:eastAsia="仿宋"/>
          <w:color w:val="auto"/>
          <w:spacing w:val="-6"/>
          <w:sz w:val="30"/>
          <w:szCs w:val="30"/>
          <w:highlight w:val="none"/>
          <w:lang w:eastAsia="zh-CN"/>
        </w:rPr>
        <w:t>接收报价</w:t>
      </w:r>
      <w:r>
        <w:rPr>
          <w:rFonts w:ascii="Times New Roman" w:hAnsi="仿宋" w:eastAsia="仿宋"/>
          <w:color w:val="auto"/>
          <w:spacing w:val="-6"/>
          <w:sz w:val="30"/>
          <w:szCs w:val="30"/>
        </w:rPr>
        <w:t>文件截止日期：至</w:t>
      </w:r>
      <w:r>
        <w:rPr>
          <w:rFonts w:ascii="Times New Roman" w:hAnsi="Times New Roman" w:eastAsia="仿宋"/>
          <w:color w:val="auto"/>
          <w:spacing w:val="-6"/>
          <w:sz w:val="30"/>
          <w:szCs w:val="30"/>
        </w:rPr>
        <w:t>20</w:t>
      </w:r>
      <w:r>
        <w:rPr>
          <w:rFonts w:hint="eastAsia" w:ascii="Times New Roman" w:hAnsi="Times New Roman" w:eastAsia="仿宋"/>
          <w:color w:val="auto"/>
          <w:spacing w:val="-6"/>
          <w:sz w:val="30"/>
          <w:szCs w:val="30"/>
          <w:lang w:val="en-US" w:eastAsia="zh-CN"/>
        </w:rPr>
        <w:t>25</w:t>
      </w:r>
      <w:r>
        <w:rPr>
          <w:rFonts w:ascii="Times New Roman" w:hAnsi="仿宋" w:eastAsia="仿宋"/>
          <w:color w:val="auto"/>
          <w:spacing w:val="-6"/>
          <w:sz w:val="30"/>
          <w:szCs w:val="30"/>
        </w:rPr>
        <w:t>年</w:t>
      </w:r>
      <w:r>
        <w:rPr>
          <w:rFonts w:hint="eastAsia" w:ascii="Times New Roman" w:hAnsi="仿宋" w:eastAsia="仿宋"/>
          <w:color w:val="auto"/>
          <w:spacing w:val="-6"/>
          <w:sz w:val="30"/>
          <w:szCs w:val="30"/>
          <w:lang w:val="en-US" w:eastAsia="zh-CN"/>
        </w:rPr>
        <w:t>7</w:t>
      </w:r>
      <w:r>
        <w:rPr>
          <w:rFonts w:ascii="Times New Roman" w:hAnsi="仿宋" w:eastAsia="仿宋"/>
          <w:color w:val="auto"/>
          <w:spacing w:val="-6"/>
          <w:sz w:val="30"/>
          <w:szCs w:val="30"/>
        </w:rPr>
        <w:t>月</w:t>
      </w:r>
      <w:r>
        <w:rPr>
          <w:rFonts w:hint="eastAsia" w:ascii="Times New Roman" w:hAnsi="仿宋" w:eastAsia="仿宋"/>
          <w:color w:val="auto"/>
          <w:spacing w:val="-6"/>
          <w:sz w:val="30"/>
          <w:szCs w:val="30"/>
          <w:lang w:val="en-US" w:eastAsia="zh-CN"/>
        </w:rPr>
        <w:t>14</w:t>
      </w:r>
      <w:r>
        <w:rPr>
          <w:rFonts w:ascii="Times New Roman" w:hAnsi="仿宋" w:eastAsia="仿宋"/>
          <w:color w:val="auto"/>
          <w:spacing w:val="-6"/>
          <w:sz w:val="30"/>
          <w:szCs w:val="30"/>
        </w:rPr>
        <w:t>日</w:t>
      </w:r>
      <w:r>
        <w:rPr>
          <w:rFonts w:ascii="Times New Roman" w:hAnsi="Times New Roman" w:eastAsia="仿宋"/>
          <w:color w:val="auto"/>
          <w:spacing w:val="-6"/>
          <w:sz w:val="30"/>
          <w:szCs w:val="30"/>
        </w:rPr>
        <w:t>1</w:t>
      </w:r>
      <w:r>
        <w:rPr>
          <w:rFonts w:hint="eastAsia" w:ascii="Times New Roman" w:hAnsi="Times New Roman" w:eastAsia="仿宋"/>
          <w:color w:val="auto"/>
          <w:spacing w:val="-6"/>
          <w:sz w:val="30"/>
          <w:szCs w:val="30"/>
          <w:lang w:val="en-US" w:eastAsia="zh-CN"/>
        </w:rPr>
        <w:t>8</w:t>
      </w:r>
      <w:r>
        <w:rPr>
          <w:rFonts w:ascii="Times New Roman" w:hAnsi="Times New Roman" w:eastAsia="仿宋"/>
          <w:color w:val="auto"/>
          <w:spacing w:val="-6"/>
          <w:sz w:val="30"/>
          <w:szCs w:val="30"/>
        </w:rPr>
        <w:t>:00</w:t>
      </w:r>
      <w:r>
        <w:rPr>
          <w:rFonts w:ascii="Times New Roman" w:hAnsi="仿宋" w:eastAsia="仿宋"/>
          <w:color w:val="auto"/>
          <w:spacing w:val="-6"/>
          <w:sz w:val="30"/>
          <w:szCs w:val="30"/>
        </w:rPr>
        <w:t>止</w:t>
      </w:r>
      <w:r>
        <w:rPr>
          <w:rFonts w:ascii="Times New Roman" w:hAnsi="仿宋" w:eastAsia="仿宋"/>
          <w:color w:val="auto"/>
          <w:sz w:val="30"/>
          <w:szCs w:val="30"/>
        </w:rPr>
        <w:t>。</w:t>
      </w:r>
    </w:p>
    <w:p w14:paraId="0182069F">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jc w:val="left"/>
        <w:textAlignment w:val="auto"/>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（二）预算控制价：23万元（按照公司2025年经营规模及业务量，并综合近三年的审计费用平均水平进行估计）。</w:t>
      </w:r>
    </w:p>
    <w:p w14:paraId="789CF2A8">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jc w:val="left"/>
        <w:textAlignment w:val="auto"/>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（三）2025年度财务报表及内部控制审计项目服务结束后，公司将对受聘会计师事务所的履职情况进行评估，并根据评估情况决定是否延续合同。</w:t>
      </w:r>
    </w:p>
    <w:p w14:paraId="4A4313C4">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00" w:firstLineChars="200"/>
        <w:jc w:val="both"/>
        <w:textAlignment w:val="auto"/>
        <w:outlineLvl w:val="9"/>
        <w:rPr>
          <w:rFonts w:hint="default" w:ascii="Times New Roman" w:hAnsi="仿宋" w:eastAsia="仿宋"/>
          <w:color w:val="auto"/>
          <w:sz w:val="30"/>
          <w:szCs w:val="30"/>
          <w:highlight w:val="none"/>
          <w:lang w:val="en-US" w:eastAsia="zh-CN"/>
        </w:rPr>
      </w:pPr>
      <w:r>
        <w:rPr>
          <w:rFonts w:hint="eastAsia" w:ascii="Times New Roman" w:hAnsi="仿宋" w:eastAsia="仿宋"/>
          <w:color w:val="auto"/>
          <w:sz w:val="30"/>
          <w:szCs w:val="30"/>
          <w:highlight w:val="none"/>
          <w:lang w:val="en-US" w:eastAsia="zh-CN"/>
        </w:rPr>
        <w:t>（四）</w:t>
      </w:r>
      <w:r>
        <w:rPr>
          <w:rFonts w:hint="eastAsia" w:ascii="仿宋" w:hAnsi="仿宋" w:eastAsia="仿宋" w:cs="仿宋"/>
          <w:color w:val="auto"/>
          <w:sz w:val="32"/>
          <w:szCs w:val="32"/>
          <w:highlight w:val="none"/>
          <w:lang w:val="en-US" w:eastAsia="zh-CN"/>
        </w:rPr>
        <w:t>付款方式：详见比选文件附件审计业务约定书</w:t>
      </w:r>
      <w:bookmarkStart w:id="1" w:name="_GoBack"/>
      <w:bookmarkEnd w:id="1"/>
      <w:r>
        <w:rPr>
          <w:rFonts w:hint="eastAsia" w:ascii="仿宋" w:hAnsi="仿宋" w:eastAsia="仿宋" w:cs="仿宋"/>
          <w:color w:val="auto"/>
          <w:sz w:val="32"/>
          <w:szCs w:val="32"/>
          <w:highlight w:val="none"/>
          <w:lang w:val="en-US" w:eastAsia="zh-CN"/>
        </w:rPr>
        <w:t>。</w:t>
      </w:r>
    </w:p>
    <w:p w14:paraId="27BAFEF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left"/>
        <w:textAlignment w:val="auto"/>
        <w:rPr>
          <w:rFonts w:hint="default" w:ascii="Times New Roman" w:hAnsi="仿宋" w:eastAsia="仿宋"/>
          <w:b/>
          <w:bCs/>
          <w:color w:val="auto"/>
          <w:sz w:val="30"/>
          <w:szCs w:val="30"/>
          <w:lang w:val="en-US" w:eastAsia="zh-CN"/>
        </w:rPr>
      </w:pPr>
      <w:r>
        <w:rPr>
          <w:rFonts w:hint="eastAsia" w:ascii="Times New Roman" w:hAnsi="仿宋" w:eastAsia="仿宋"/>
          <w:color w:val="auto"/>
          <w:sz w:val="30"/>
          <w:szCs w:val="30"/>
          <w:lang w:val="en-US" w:eastAsia="zh-CN"/>
        </w:rPr>
        <w:t>（五）报价文件组成</w:t>
      </w:r>
      <w:r>
        <w:rPr>
          <w:rFonts w:hint="eastAsia" w:ascii="Times New Roman" w:hAnsi="仿宋" w:eastAsia="仿宋"/>
          <w:b/>
          <w:bCs/>
          <w:color w:val="auto"/>
          <w:sz w:val="30"/>
          <w:szCs w:val="30"/>
          <w:lang w:val="en-US" w:eastAsia="zh-CN"/>
        </w:rPr>
        <w:t>（以下文件必须提供，且均需加盖公章并标注页码）</w:t>
      </w:r>
    </w:p>
    <w:p w14:paraId="5A5A6F5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lang w:eastAsia="zh-CN"/>
        </w:rPr>
      </w:pPr>
      <w:r>
        <w:rPr>
          <w:rFonts w:hint="eastAsia" w:ascii="Times New Roman" w:hAnsi="仿宋" w:eastAsia="仿宋"/>
          <w:color w:val="auto"/>
          <w:sz w:val="30"/>
          <w:szCs w:val="30"/>
          <w:lang w:eastAsia="zh-CN"/>
        </w:rPr>
        <w:t>目录</w:t>
      </w:r>
    </w:p>
    <w:p w14:paraId="587EA71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lang w:eastAsia="zh-CN"/>
        </w:rPr>
      </w:pPr>
      <w:r>
        <w:rPr>
          <w:rFonts w:hint="eastAsia" w:ascii="Times New Roman" w:hAnsi="仿宋" w:eastAsia="仿宋"/>
          <w:color w:val="auto"/>
          <w:sz w:val="30"/>
          <w:szCs w:val="30"/>
          <w:lang w:eastAsia="zh-CN"/>
        </w:rPr>
        <w:t>第一章、报价人简介；</w:t>
      </w:r>
    </w:p>
    <w:p w14:paraId="3A6EAE3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lang w:eastAsia="zh-CN"/>
        </w:rPr>
      </w:pPr>
      <w:r>
        <w:rPr>
          <w:rFonts w:hint="eastAsia" w:ascii="Times New Roman" w:hAnsi="仿宋" w:eastAsia="仿宋"/>
          <w:color w:val="auto"/>
          <w:sz w:val="30"/>
          <w:szCs w:val="30"/>
          <w:lang w:eastAsia="zh-CN"/>
        </w:rPr>
        <w:t>第二章、</w:t>
      </w:r>
      <w:r>
        <w:rPr>
          <w:rFonts w:hint="eastAsia" w:ascii="Times New Roman" w:hAnsi="仿宋" w:eastAsia="仿宋"/>
          <w:color w:val="auto"/>
          <w:sz w:val="30"/>
          <w:szCs w:val="30"/>
        </w:rPr>
        <w:t>营业执照；</w:t>
      </w:r>
    </w:p>
    <w:p w14:paraId="04933EE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lang w:eastAsia="zh-CN"/>
        </w:rPr>
        <w:t>第三章、</w:t>
      </w:r>
      <w:r>
        <w:rPr>
          <w:rFonts w:hint="eastAsia" w:ascii="Times New Roman" w:hAnsi="仿宋" w:eastAsia="仿宋"/>
          <w:color w:val="auto"/>
          <w:sz w:val="30"/>
          <w:szCs w:val="30"/>
        </w:rPr>
        <w:t>报价函（报</w:t>
      </w:r>
      <w:r>
        <w:rPr>
          <w:rFonts w:hint="eastAsia" w:ascii="Times New Roman" w:hAnsi="仿宋" w:eastAsia="仿宋"/>
          <w:color w:val="auto"/>
          <w:sz w:val="30"/>
          <w:szCs w:val="30"/>
          <w:lang w:eastAsia="zh-CN"/>
        </w:rPr>
        <w:t>包干</w:t>
      </w:r>
      <w:r>
        <w:rPr>
          <w:rFonts w:hint="eastAsia" w:ascii="Times New Roman" w:hAnsi="仿宋" w:eastAsia="仿宋"/>
          <w:color w:val="auto"/>
          <w:sz w:val="30"/>
          <w:szCs w:val="30"/>
        </w:rPr>
        <w:t>总价</w:t>
      </w:r>
      <w:r>
        <w:rPr>
          <w:rFonts w:hint="eastAsia" w:ascii="Times New Roman" w:hAnsi="仿宋" w:eastAsia="仿宋"/>
          <w:color w:val="auto"/>
          <w:sz w:val="30"/>
          <w:szCs w:val="30"/>
          <w:lang w:eastAsia="zh-CN"/>
        </w:rPr>
        <w:t>（</w:t>
      </w:r>
      <w:r>
        <w:rPr>
          <w:rFonts w:hint="eastAsia" w:ascii="Times New Roman" w:hAnsi="仿宋" w:eastAsia="仿宋"/>
          <w:color w:val="auto"/>
          <w:sz w:val="30"/>
          <w:szCs w:val="30"/>
          <w:lang w:val="en-US" w:eastAsia="zh-CN"/>
        </w:rPr>
        <w:t>含税，税率为</w:t>
      </w:r>
      <w:r>
        <w:rPr>
          <w:rFonts w:hint="eastAsia" w:ascii="Times New Roman" w:hAnsi="仿宋" w:eastAsia="仿宋"/>
          <w:color w:val="auto"/>
          <w:sz w:val="30"/>
          <w:szCs w:val="30"/>
          <w:u w:val="single"/>
          <w:lang w:val="en-US" w:eastAsia="zh-CN"/>
        </w:rPr>
        <w:t xml:space="preserve">  </w:t>
      </w:r>
      <w:r>
        <w:rPr>
          <w:rFonts w:hint="eastAsia" w:ascii="Times New Roman" w:hAnsi="仿宋" w:eastAsia="仿宋"/>
          <w:color w:val="auto"/>
          <w:sz w:val="30"/>
          <w:szCs w:val="30"/>
          <w:lang w:val="en-US" w:eastAsia="zh-CN"/>
        </w:rPr>
        <w:t>%）</w:t>
      </w:r>
      <w:r>
        <w:rPr>
          <w:rFonts w:hint="eastAsia" w:ascii="Times New Roman" w:hAnsi="仿宋" w:eastAsia="仿宋"/>
          <w:color w:val="auto"/>
          <w:sz w:val="30"/>
          <w:szCs w:val="30"/>
        </w:rPr>
        <w:t>，并附报价单位联系人及联系方式</w:t>
      </w:r>
      <w:r>
        <w:rPr>
          <w:rFonts w:hint="eastAsia" w:ascii="Times New Roman" w:hAnsi="仿宋" w:eastAsia="仿宋"/>
          <w:color w:val="auto"/>
          <w:sz w:val="30"/>
          <w:szCs w:val="30"/>
          <w:lang w:eastAsia="zh-CN"/>
        </w:rPr>
        <w:t>、</w:t>
      </w:r>
      <w:r>
        <w:rPr>
          <w:rFonts w:hint="eastAsia" w:ascii="Times New Roman" w:hAnsi="仿宋" w:eastAsia="仿宋"/>
          <w:color w:val="auto"/>
          <w:sz w:val="30"/>
          <w:szCs w:val="30"/>
          <w:lang w:val="en-US" w:eastAsia="zh-CN"/>
        </w:rPr>
        <w:t>报价单位开户银行及账号等</w:t>
      </w:r>
      <w:r>
        <w:rPr>
          <w:rFonts w:hint="eastAsia" w:ascii="Times New Roman" w:hAnsi="仿宋" w:eastAsia="仿宋"/>
          <w:color w:val="auto"/>
          <w:sz w:val="30"/>
          <w:szCs w:val="30"/>
        </w:rPr>
        <w:t>）；</w:t>
      </w:r>
    </w:p>
    <w:p w14:paraId="0B4B88F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default" w:ascii="Times New Roman" w:hAnsi="仿宋" w:eastAsia="仿宋"/>
          <w:color w:val="auto"/>
          <w:sz w:val="30"/>
          <w:szCs w:val="30"/>
          <w:lang w:val="en-US" w:eastAsia="zh-CN"/>
        </w:rPr>
      </w:pPr>
      <w:r>
        <w:rPr>
          <w:rFonts w:hint="eastAsia" w:ascii="Times New Roman" w:hAnsi="仿宋" w:eastAsia="仿宋"/>
          <w:color w:val="auto"/>
          <w:sz w:val="30"/>
          <w:szCs w:val="30"/>
          <w:lang w:eastAsia="zh-CN"/>
        </w:rPr>
        <w:t>第四章、</w:t>
      </w:r>
      <w:r>
        <w:rPr>
          <w:rFonts w:hint="eastAsia" w:ascii="Times New Roman" w:hAnsi="仿宋" w:eastAsia="仿宋"/>
          <w:color w:val="auto"/>
          <w:sz w:val="30"/>
          <w:szCs w:val="30"/>
          <w:lang w:val="en-US" w:eastAsia="zh-CN"/>
        </w:rPr>
        <w:t>事务所</w:t>
      </w:r>
      <w:r>
        <w:rPr>
          <w:rFonts w:hint="eastAsia" w:ascii="Times New Roman" w:hAnsi="仿宋" w:eastAsia="仿宋"/>
          <w:color w:val="auto"/>
          <w:sz w:val="30"/>
          <w:szCs w:val="30"/>
          <w:lang w:eastAsia="zh-CN"/>
        </w:rPr>
        <w:t>近三年已完成类似项目一览表（须附合同或中标通知书</w:t>
      </w:r>
      <w:r>
        <w:rPr>
          <w:rFonts w:hint="eastAsia" w:ascii="Times New Roman" w:hAnsi="仿宋" w:eastAsia="仿宋"/>
          <w:color w:val="auto"/>
          <w:sz w:val="30"/>
          <w:szCs w:val="30"/>
          <w:lang w:val="en-US" w:eastAsia="zh-CN"/>
        </w:rPr>
        <w:t>扫描件</w:t>
      </w:r>
      <w:r>
        <w:rPr>
          <w:rFonts w:hint="eastAsia" w:ascii="Times New Roman" w:hAnsi="仿宋" w:eastAsia="仿宋"/>
          <w:color w:val="auto"/>
          <w:sz w:val="30"/>
          <w:szCs w:val="30"/>
          <w:lang w:eastAsia="zh-CN"/>
        </w:rPr>
        <w:t>），</w:t>
      </w:r>
      <w:r>
        <w:rPr>
          <w:rFonts w:hint="eastAsia" w:ascii="Times New Roman" w:hAnsi="仿宋" w:eastAsia="仿宋"/>
          <w:color w:val="auto"/>
          <w:sz w:val="30"/>
          <w:szCs w:val="30"/>
          <w:highlight w:val="none"/>
          <w:lang w:val="en-US" w:eastAsia="zh-CN"/>
        </w:rPr>
        <w:t>及近三年鉴证业务收入情况统计表；</w:t>
      </w:r>
    </w:p>
    <w:p w14:paraId="243B6F6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lang w:eastAsia="zh-CN"/>
        </w:rPr>
      </w:pPr>
      <w:r>
        <w:rPr>
          <w:rFonts w:hint="eastAsia" w:ascii="Times New Roman" w:hAnsi="仿宋" w:eastAsia="仿宋"/>
          <w:color w:val="auto"/>
          <w:sz w:val="30"/>
          <w:szCs w:val="30"/>
          <w:lang w:eastAsia="zh-CN"/>
        </w:rPr>
        <w:t>第五章、服务方案（至少包括服务工作组织计划、服务承诺、服务质量管理、信息安全及风险承担能力等方面。并免费提供合同期内可能存在的会计、税务等事项的零星咨询服务）；</w:t>
      </w:r>
    </w:p>
    <w:p w14:paraId="0EB6133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left"/>
        <w:textAlignment w:val="auto"/>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eastAsia="zh-CN"/>
        </w:rPr>
        <w:t>第六章、拟投入本项目人员情况</w:t>
      </w:r>
      <w:r>
        <w:rPr>
          <w:rFonts w:hint="default" w:ascii="Times New Roman" w:hAnsi="仿宋" w:eastAsia="仿宋"/>
          <w:color w:val="auto"/>
          <w:sz w:val="30"/>
          <w:szCs w:val="30"/>
          <w:lang w:eastAsia="zh-CN"/>
        </w:rPr>
        <w:t>（</w:t>
      </w:r>
      <w:r>
        <w:rPr>
          <w:rFonts w:hint="default" w:ascii="Times New Roman" w:hAnsi="仿宋" w:eastAsia="仿宋"/>
          <w:color w:val="auto"/>
          <w:sz w:val="30"/>
          <w:szCs w:val="30"/>
          <w:lang w:val="en-US" w:eastAsia="zh-CN"/>
        </w:rPr>
        <w:t>拟投入不少于</w:t>
      </w:r>
      <w:r>
        <w:rPr>
          <w:rFonts w:hint="eastAsia" w:ascii="Times New Roman" w:hAnsi="仿宋" w:eastAsia="仿宋"/>
          <w:color w:val="auto"/>
          <w:sz w:val="30"/>
          <w:szCs w:val="30"/>
          <w:lang w:val="en-US" w:eastAsia="zh-CN"/>
        </w:rPr>
        <w:t>6</w:t>
      </w:r>
      <w:r>
        <w:rPr>
          <w:rFonts w:hint="default" w:ascii="Times New Roman" w:hAnsi="仿宋" w:eastAsia="仿宋"/>
          <w:color w:val="auto"/>
          <w:sz w:val="30"/>
          <w:szCs w:val="30"/>
          <w:lang w:val="en-US" w:eastAsia="zh-CN"/>
        </w:rPr>
        <w:t>名具备专业资质和专业能力的审计人员，其中至少</w:t>
      </w:r>
      <w:r>
        <w:rPr>
          <w:rFonts w:hint="eastAsia" w:ascii="Times New Roman" w:hAnsi="仿宋" w:eastAsia="仿宋"/>
          <w:color w:val="auto"/>
          <w:sz w:val="30"/>
          <w:szCs w:val="30"/>
          <w:lang w:val="en-US" w:eastAsia="zh-CN"/>
        </w:rPr>
        <w:t>2</w:t>
      </w:r>
      <w:r>
        <w:rPr>
          <w:rFonts w:hint="default" w:ascii="Times New Roman" w:hAnsi="仿宋" w:eastAsia="仿宋"/>
          <w:color w:val="auto"/>
          <w:sz w:val="30"/>
          <w:szCs w:val="30"/>
          <w:lang w:val="en-US" w:eastAsia="zh-CN"/>
        </w:rPr>
        <w:t>名持有效的中国注册会计师证书。</w:t>
      </w:r>
      <w:r>
        <w:rPr>
          <w:rFonts w:hint="eastAsia" w:ascii="Times New Roman" w:hAnsi="仿宋" w:eastAsia="仿宋"/>
          <w:color w:val="auto"/>
          <w:sz w:val="30"/>
          <w:szCs w:val="30"/>
          <w:lang w:eastAsia="zh-CN"/>
        </w:rPr>
        <w:t>须附人员相关证书及近</w:t>
      </w:r>
      <w:r>
        <w:rPr>
          <w:rFonts w:hint="eastAsia" w:ascii="Times New Roman" w:hAnsi="仿宋" w:eastAsia="仿宋"/>
          <w:color w:val="auto"/>
          <w:sz w:val="30"/>
          <w:szCs w:val="30"/>
          <w:lang w:val="en-US" w:eastAsia="zh-CN"/>
        </w:rPr>
        <w:t>6个月</w:t>
      </w:r>
      <w:r>
        <w:rPr>
          <w:rFonts w:hint="eastAsia" w:ascii="Times New Roman" w:hAnsi="仿宋" w:eastAsia="仿宋"/>
          <w:color w:val="auto"/>
          <w:sz w:val="30"/>
          <w:szCs w:val="30"/>
          <w:highlight w:val="none"/>
          <w:lang w:val="en-US" w:eastAsia="zh-CN"/>
        </w:rPr>
        <w:t>（2025年1月—6月）</w:t>
      </w:r>
      <w:r>
        <w:rPr>
          <w:rFonts w:hint="eastAsia" w:ascii="Times New Roman" w:hAnsi="仿宋" w:eastAsia="仿宋"/>
          <w:color w:val="auto"/>
          <w:sz w:val="30"/>
          <w:szCs w:val="30"/>
          <w:lang w:eastAsia="zh-CN"/>
        </w:rPr>
        <w:t>社保缴纳证明）。</w:t>
      </w:r>
    </w:p>
    <w:p w14:paraId="6B387A51">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textAlignment w:val="auto"/>
        <w:rPr>
          <w:rFonts w:hint="default" w:ascii="黑体" w:hAnsi="黑体" w:eastAsia="黑体"/>
          <w:color w:val="auto"/>
          <w:sz w:val="30"/>
          <w:szCs w:val="30"/>
          <w:lang w:val="en-US" w:eastAsia="zh-CN"/>
        </w:rPr>
      </w:pPr>
      <w:r>
        <w:rPr>
          <w:rFonts w:hint="eastAsia" w:ascii="黑体" w:hAnsi="黑体" w:eastAsia="黑体"/>
          <w:color w:val="auto"/>
          <w:sz w:val="30"/>
          <w:szCs w:val="30"/>
          <w:lang w:val="en-US" w:eastAsia="zh-CN"/>
        </w:rPr>
        <w:t>六</w:t>
      </w:r>
      <w:r>
        <w:rPr>
          <w:rFonts w:ascii="黑体" w:hAnsi="黑体" w:eastAsia="黑体"/>
          <w:color w:val="auto"/>
          <w:sz w:val="30"/>
          <w:szCs w:val="30"/>
        </w:rPr>
        <w:t>、</w:t>
      </w:r>
      <w:r>
        <w:rPr>
          <w:rFonts w:hint="eastAsia" w:ascii="黑体" w:hAnsi="黑体" w:eastAsia="黑体"/>
          <w:color w:val="auto"/>
          <w:sz w:val="30"/>
          <w:szCs w:val="30"/>
          <w:lang w:val="en-US" w:eastAsia="zh-CN"/>
        </w:rPr>
        <w:t>报价文件报送方式及要求</w:t>
      </w:r>
    </w:p>
    <w:p w14:paraId="2B097DE7">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jc w:val="left"/>
        <w:textAlignment w:val="auto"/>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报价方式为纸质文件报价，具体要求如下：</w:t>
      </w:r>
    </w:p>
    <w:p w14:paraId="51ED632D">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jc w:val="left"/>
        <w:textAlignment w:val="auto"/>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报价文件数量：1正5副（报价文件要求密封于文件袋内）。</w:t>
      </w:r>
    </w:p>
    <w:p w14:paraId="798CAF18">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jc w:val="left"/>
        <w:textAlignment w:val="auto"/>
        <w:rPr>
          <w:rFonts w:hint="eastAsia"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可选择邮寄或现场递交方式报送（如采用邮寄方式，须通过EMS或顺丰速运邮寄，送达时间不得晚于公告截止时间）。邮寄或送达地址：广西钦州市中马产业园区友谊大道88号中马广场5号写字楼19层。</w:t>
      </w:r>
    </w:p>
    <w:p w14:paraId="05886F87">
      <w:pPr>
        <w:keepNext w:val="0"/>
        <w:keepLines w:val="0"/>
        <w:pageBreakBefore w:val="0"/>
        <w:widowControl w:val="0"/>
        <w:kinsoku/>
        <w:wordWrap/>
        <w:overflowPunct/>
        <w:topLinePunct w:val="0"/>
        <w:autoSpaceDE/>
        <w:autoSpaceDN/>
        <w:bidi w:val="0"/>
        <w:adjustRightInd w:val="0"/>
        <w:snapToGrid w:val="0"/>
        <w:spacing w:afterLines="0" w:line="540" w:lineRule="exact"/>
        <w:ind w:firstLine="600" w:firstLineChars="200"/>
        <w:jc w:val="left"/>
        <w:textAlignment w:val="auto"/>
        <w:rPr>
          <w:rFonts w:hint="default" w:ascii="Times New Roman" w:hAnsi="仿宋" w:eastAsia="仿宋"/>
          <w:color w:val="auto"/>
          <w:sz w:val="30"/>
          <w:szCs w:val="30"/>
          <w:lang w:val="en-US" w:eastAsia="zh-CN"/>
        </w:rPr>
      </w:pPr>
      <w:r>
        <w:rPr>
          <w:rFonts w:hint="eastAsia" w:ascii="Times New Roman" w:hAnsi="仿宋" w:eastAsia="仿宋"/>
          <w:color w:val="auto"/>
          <w:sz w:val="30"/>
          <w:szCs w:val="30"/>
          <w:lang w:val="en-US" w:eastAsia="zh-CN"/>
        </w:rPr>
        <w:t>联系人电话：吴雪凝，0777-5988992，15807707776。</w:t>
      </w:r>
    </w:p>
    <w:p w14:paraId="4056266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黑体" w:hAnsi="黑体" w:eastAsia="黑体"/>
          <w:color w:val="auto"/>
          <w:sz w:val="30"/>
          <w:szCs w:val="30"/>
        </w:rPr>
      </w:pPr>
      <w:r>
        <w:rPr>
          <w:rFonts w:hint="eastAsia" w:ascii="Times New Roman" w:hAnsi="Times New Roman" w:eastAsia="黑体"/>
          <w:color w:val="auto"/>
          <w:sz w:val="30"/>
          <w:szCs w:val="30"/>
          <w:lang w:val="en-US" w:eastAsia="zh-CN"/>
        </w:rPr>
        <w:t>七</w:t>
      </w:r>
      <w:r>
        <w:rPr>
          <w:rFonts w:ascii="黑体" w:hAnsi="黑体" w:eastAsia="黑体"/>
          <w:color w:val="auto"/>
          <w:sz w:val="30"/>
          <w:szCs w:val="30"/>
        </w:rPr>
        <w:t>、评审规则</w:t>
      </w:r>
    </w:p>
    <w:p w14:paraId="65C6E56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Times New Roman" w:hAnsi="Times New Roman" w:eastAsia="仿宋"/>
          <w:color w:val="auto"/>
          <w:sz w:val="30"/>
          <w:szCs w:val="30"/>
        </w:rPr>
      </w:pPr>
      <w:r>
        <w:rPr>
          <w:rFonts w:ascii="Times New Roman" w:hAnsi="仿宋" w:eastAsia="仿宋"/>
          <w:color w:val="auto"/>
          <w:sz w:val="30"/>
          <w:szCs w:val="30"/>
        </w:rPr>
        <w:t>（一）</w:t>
      </w:r>
      <w:r>
        <w:rPr>
          <w:rFonts w:hint="eastAsia" w:ascii="Times New Roman" w:hAnsi="仿宋" w:eastAsia="仿宋"/>
          <w:color w:val="auto"/>
          <w:sz w:val="30"/>
          <w:szCs w:val="30"/>
        </w:rPr>
        <w:t>我公司将结合报价单位的资质条件、审计费用报价、业绩、工作组织、质量管理水平、人力资源配备、信息安全及风险承担能力等因素，综合择优选定本项目的中选单位</w:t>
      </w:r>
      <w:r>
        <w:rPr>
          <w:rFonts w:ascii="Times New Roman" w:hAnsi="仿宋" w:eastAsia="仿宋"/>
          <w:color w:val="auto"/>
          <w:sz w:val="30"/>
          <w:szCs w:val="30"/>
        </w:rPr>
        <w:t>。</w:t>
      </w:r>
    </w:p>
    <w:p w14:paraId="2308390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Times New Roman" w:hAnsi="Times New Roman" w:eastAsia="仿宋"/>
          <w:color w:val="auto"/>
          <w:sz w:val="30"/>
          <w:szCs w:val="30"/>
        </w:rPr>
      </w:pPr>
      <w:r>
        <w:rPr>
          <w:rFonts w:ascii="Times New Roman" w:hAnsi="仿宋" w:eastAsia="仿宋"/>
          <w:color w:val="auto"/>
          <w:sz w:val="30"/>
          <w:szCs w:val="30"/>
        </w:rPr>
        <w:t>（二）如出现下列情况之一，报价文件作无效处理</w:t>
      </w:r>
    </w:p>
    <w:p w14:paraId="08AA7283">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ascii="Times New Roman" w:hAnsi="Times New Roman" w:eastAsia="仿宋"/>
          <w:color w:val="auto"/>
          <w:sz w:val="30"/>
          <w:szCs w:val="30"/>
        </w:rPr>
      </w:pPr>
      <w:r>
        <w:rPr>
          <w:rFonts w:hint="eastAsia" w:ascii="Times New Roman" w:hAnsi="Times New Roman" w:eastAsia="仿宋"/>
          <w:color w:val="auto"/>
          <w:sz w:val="30"/>
          <w:szCs w:val="30"/>
          <w:lang w:val="en-US" w:eastAsia="zh-CN"/>
        </w:rPr>
        <w:t>1</w:t>
      </w:r>
      <w:r>
        <w:rPr>
          <w:rFonts w:ascii="Times New Roman" w:hAnsi="Times New Roman" w:eastAsia="仿宋"/>
          <w:color w:val="auto"/>
          <w:sz w:val="30"/>
          <w:szCs w:val="30"/>
        </w:rPr>
        <w:t>.</w:t>
      </w:r>
      <w:r>
        <w:rPr>
          <w:rFonts w:ascii="Times New Roman" w:hAnsi="仿宋" w:eastAsia="仿宋"/>
          <w:color w:val="auto"/>
          <w:sz w:val="30"/>
          <w:szCs w:val="30"/>
        </w:rPr>
        <w:t>不响应比选文件实质性要求；</w:t>
      </w:r>
    </w:p>
    <w:p w14:paraId="74111836">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ascii="Times New Roman" w:hAnsi="仿宋" w:eastAsia="仿宋"/>
          <w:color w:val="auto"/>
          <w:sz w:val="30"/>
          <w:szCs w:val="30"/>
        </w:rPr>
      </w:pPr>
      <w:r>
        <w:rPr>
          <w:rFonts w:hint="eastAsia" w:ascii="Times New Roman" w:hAnsi="Times New Roman" w:eastAsia="仿宋"/>
          <w:color w:val="auto"/>
          <w:sz w:val="30"/>
          <w:szCs w:val="30"/>
          <w:lang w:val="en-US" w:eastAsia="zh-CN"/>
        </w:rPr>
        <w:t>2</w:t>
      </w:r>
      <w:r>
        <w:rPr>
          <w:rFonts w:ascii="Times New Roman" w:hAnsi="Times New Roman" w:eastAsia="仿宋"/>
          <w:color w:val="auto"/>
          <w:sz w:val="30"/>
          <w:szCs w:val="30"/>
        </w:rPr>
        <w:t>.</w:t>
      </w:r>
      <w:r>
        <w:rPr>
          <w:rFonts w:ascii="Times New Roman" w:hAnsi="仿宋" w:eastAsia="仿宋"/>
          <w:color w:val="auto"/>
          <w:sz w:val="30"/>
          <w:szCs w:val="30"/>
        </w:rPr>
        <w:t>出现两个或两个以上报价；</w:t>
      </w:r>
    </w:p>
    <w:p w14:paraId="4C33222F">
      <w:pPr>
        <w:keepNext w:val="0"/>
        <w:keepLines w:val="0"/>
        <w:pageBreakBefore w:val="0"/>
        <w:widowControl w:val="0"/>
        <w:kinsoku/>
        <w:wordWrap/>
        <w:overflowPunct/>
        <w:topLinePunct w:val="0"/>
        <w:autoSpaceDE/>
        <w:autoSpaceDN/>
        <w:bidi w:val="0"/>
        <w:adjustRightInd w:val="0"/>
        <w:snapToGrid w:val="0"/>
        <w:spacing w:line="540" w:lineRule="exact"/>
        <w:ind w:right="0" w:rightChars="0" w:firstLine="600" w:firstLineChars="200"/>
        <w:jc w:val="both"/>
        <w:textAlignment w:val="auto"/>
        <w:outlineLvl w:val="9"/>
        <w:rPr>
          <w:rFonts w:hint="eastAsia" w:ascii="Times New Roman" w:hAnsi="仿宋" w:eastAsia="仿宋"/>
          <w:color w:val="auto"/>
          <w:sz w:val="30"/>
          <w:szCs w:val="30"/>
        </w:rPr>
      </w:pPr>
      <w:r>
        <w:rPr>
          <w:rFonts w:hint="eastAsia" w:ascii="Times New Roman" w:hAnsi="Times New Roman" w:eastAsia="仿宋"/>
          <w:color w:val="auto"/>
          <w:sz w:val="30"/>
          <w:szCs w:val="30"/>
        </w:rPr>
        <w:t>3</w:t>
      </w:r>
      <w:r>
        <w:rPr>
          <w:rFonts w:ascii="Times New Roman" w:hAnsi="Times New Roman" w:eastAsia="仿宋"/>
          <w:color w:val="auto"/>
          <w:sz w:val="30"/>
          <w:szCs w:val="30"/>
        </w:rPr>
        <w:t>.</w:t>
      </w:r>
      <w:r>
        <w:rPr>
          <w:rFonts w:ascii="Times New Roman" w:hAnsi="仿宋" w:eastAsia="仿宋"/>
          <w:color w:val="auto"/>
          <w:sz w:val="30"/>
          <w:szCs w:val="30"/>
        </w:rPr>
        <w:t>报价超出预算控制价的</w:t>
      </w:r>
      <w:r>
        <w:rPr>
          <w:rFonts w:hint="eastAsia" w:ascii="Times New Roman" w:hAnsi="仿宋" w:eastAsia="仿宋"/>
          <w:color w:val="auto"/>
          <w:sz w:val="30"/>
          <w:szCs w:val="30"/>
        </w:rPr>
        <w:t>；</w:t>
      </w:r>
    </w:p>
    <w:p w14:paraId="37424D7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lang w:val="en-US" w:eastAsia="zh-CN"/>
        </w:rPr>
        <w:t>4</w:t>
      </w:r>
      <w:r>
        <w:rPr>
          <w:rFonts w:hint="eastAsia" w:ascii="Times New Roman" w:hAnsi="仿宋" w:eastAsia="仿宋"/>
          <w:color w:val="auto"/>
          <w:sz w:val="30"/>
          <w:szCs w:val="30"/>
        </w:rPr>
        <w:t>.报价文件</w:t>
      </w:r>
      <w:r>
        <w:rPr>
          <w:rFonts w:hint="eastAsia" w:ascii="Times New Roman" w:hAnsi="仿宋" w:eastAsia="仿宋"/>
          <w:color w:val="auto"/>
          <w:sz w:val="30"/>
          <w:szCs w:val="30"/>
          <w:lang w:eastAsia="zh-CN"/>
        </w:rPr>
        <w:t>报送</w:t>
      </w:r>
      <w:r>
        <w:rPr>
          <w:rFonts w:hint="eastAsia" w:ascii="Times New Roman" w:hAnsi="仿宋" w:eastAsia="仿宋"/>
          <w:color w:val="auto"/>
          <w:sz w:val="30"/>
          <w:szCs w:val="30"/>
        </w:rPr>
        <w:t>时间已超过规定截止时间；</w:t>
      </w:r>
    </w:p>
    <w:p w14:paraId="730AA7C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lang w:val="en-US" w:eastAsia="zh-CN"/>
        </w:rPr>
        <w:t>5</w:t>
      </w:r>
      <w:r>
        <w:rPr>
          <w:rFonts w:hint="eastAsia" w:ascii="Times New Roman" w:hAnsi="仿宋" w:eastAsia="仿宋"/>
          <w:color w:val="auto"/>
          <w:sz w:val="30"/>
          <w:szCs w:val="30"/>
        </w:rPr>
        <w:t>.</w:t>
      </w:r>
      <w:r>
        <w:rPr>
          <w:rFonts w:hint="eastAsia" w:ascii="Times New Roman" w:hAnsi="仿宋" w:eastAsia="仿宋"/>
          <w:color w:val="auto"/>
          <w:sz w:val="30"/>
          <w:szCs w:val="30"/>
          <w:lang w:eastAsia="zh-CN"/>
        </w:rPr>
        <w:t>纸质版</w:t>
      </w:r>
      <w:r>
        <w:rPr>
          <w:rFonts w:hint="eastAsia" w:ascii="Times New Roman" w:hAnsi="仿宋" w:eastAsia="仿宋"/>
          <w:color w:val="auto"/>
          <w:sz w:val="30"/>
          <w:szCs w:val="30"/>
        </w:rPr>
        <w:t>报价文件未按要求密封；</w:t>
      </w:r>
    </w:p>
    <w:p w14:paraId="3CD1939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lang w:val="en-US" w:eastAsia="zh-CN"/>
        </w:rPr>
        <w:t>6</w:t>
      </w:r>
      <w:r>
        <w:rPr>
          <w:rFonts w:hint="eastAsia" w:ascii="Times New Roman" w:hAnsi="仿宋" w:eastAsia="仿宋"/>
          <w:color w:val="auto"/>
          <w:sz w:val="30"/>
          <w:szCs w:val="30"/>
        </w:rPr>
        <w:t>.报价</w:t>
      </w:r>
      <w:r>
        <w:rPr>
          <w:rFonts w:hint="eastAsia" w:ascii="Times New Roman" w:hAnsi="仿宋" w:eastAsia="仿宋"/>
          <w:color w:val="auto"/>
          <w:sz w:val="30"/>
          <w:szCs w:val="30"/>
          <w:lang w:eastAsia="zh-CN"/>
        </w:rPr>
        <w:t>文件资料未加盖公司公章</w:t>
      </w:r>
      <w:r>
        <w:rPr>
          <w:rFonts w:hint="eastAsia" w:ascii="Times New Roman" w:hAnsi="仿宋" w:eastAsia="仿宋"/>
          <w:color w:val="auto"/>
          <w:sz w:val="30"/>
          <w:szCs w:val="30"/>
        </w:rPr>
        <w:t>；</w:t>
      </w:r>
    </w:p>
    <w:p w14:paraId="2695B1F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lang w:eastAsia="zh-CN"/>
        </w:rPr>
      </w:pPr>
      <w:r>
        <w:rPr>
          <w:rFonts w:hint="eastAsia" w:ascii="Times New Roman" w:hAnsi="仿宋" w:eastAsia="仿宋"/>
          <w:color w:val="auto"/>
          <w:sz w:val="30"/>
          <w:szCs w:val="30"/>
          <w:lang w:val="en-US" w:eastAsia="zh-CN"/>
        </w:rPr>
        <w:t>7</w:t>
      </w:r>
      <w:r>
        <w:rPr>
          <w:rFonts w:hint="eastAsia" w:ascii="Times New Roman" w:hAnsi="仿宋" w:eastAsia="仿宋"/>
          <w:color w:val="auto"/>
          <w:sz w:val="30"/>
          <w:szCs w:val="30"/>
        </w:rPr>
        <w:t>.</w:t>
      </w:r>
      <w:r>
        <w:rPr>
          <w:rFonts w:hint="eastAsia" w:ascii="Times New Roman" w:hAnsi="仿宋" w:eastAsia="仿宋" w:cs="Times New Roman"/>
          <w:color w:val="auto"/>
          <w:sz w:val="30"/>
          <w:szCs w:val="30"/>
          <w:lang w:bidi="ar"/>
        </w:rPr>
        <w:t>资格证明文件不全或不符合比选要求，或</w:t>
      </w:r>
      <w:r>
        <w:rPr>
          <w:rFonts w:hint="eastAsia" w:ascii="Times New Roman" w:hAnsi="仿宋" w:eastAsia="仿宋"/>
          <w:color w:val="auto"/>
          <w:sz w:val="30"/>
          <w:szCs w:val="30"/>
        </w:rPr>
        <w:t>超出经营范围报价的；</w:t>
      </w:r>
    </w:p>
    <w:p w14:paraId="7087577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lang w:val="en-US" w:eastAsia="zh-CN"/>
        </w:rPr>
        <w:t>8.存在其他不符合比选文件要求的行为</w:t>
      </w:r>
      <w:r>
        <w:rPr>
          <w:rFonts w:hint="eastAsia" w:ascii="Times New Roman" w:hAnsi="仿宋" w:eastAsia="仿宋"/>
          <w:color w:val="auto"/>
          <w:sz w:val="30"/>
          <w:szCs w:val="30"/>
        </w:rPr>
        <w:t>。</w:t>
      </w:r>
    </w:p>
    <w:p w14:paraId="359D7C4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rPr>
        <w:t>（三）如出现下列情况之一，报价文件作无效处理，同时列入我公司黑名单。</w:t>
      </w:r>
    </w:p>
    <w:p w14:paraId="6054811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rPr>
        <w:t>1.不同报价人的报价文件由同一单位或者个人编制；</w:t>
      </w:r>
    </w:p>
    <w:p w14:paraId="671CD19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rPr>
        <w:t>2.不同报价人委托同一单位或者个人办理报价相关事宜；</w:t>
      </w:r>
    </w:p>
    <w:p w14:paraId="1456BC60">
      <w:pPr>
        <w:keepNext w:val="0"/>
        <w:keepLines w:val="0"/>
        <w:pageBreakBefore w:val="0"/>
        <w:widowControl/>
        <w:kinsoku/>
        <w:wordWrap/>
        <w:overflowPunct/>
        <w:topLinePunct w:val="0"/>
        <w:autoSpaceDE/>
        <w:autoSpaceDN/>
        <w:bidi w:val="0"/>
        <w:adjustRightInd w:val="0"/>
        <w:snapToGrid w:val="0"/>
        <w:spacing w:line="540" w:lineRule="exact"/>
        <w:ind w:firstLine="600" w:firstLineChars="200"/>
        <w:textAlignment w:val="auto"/>
        <w:rPr>
          <w:rFonts w:hint="eastAsia" w:ascii="Times New Roman" w:hAnsi="仿宋" w:eastAsia="仿宋"/>
          <w:color w:val="auto"/>
          <w:sz w:val="30"/>
          <w:szCs w:val="30"/>
        </w:rPr>
      </w:pPr>
      <w:r>
        <w:rPr>
          <w:rFonts w:hint="eastAsia" w:ascii="Times New Roman" w:hAnsi="仿宋" w:eastAsia="仿宋"/>
          <w:color w:val="auto"/>
          <w:sz w:val="30"/>
          <w:szCs w:val="30"/>
        </w:rPr>
        <w:t>3.</w:t>
      </w:r>
      <w:r>
        <w:rPr>
          <w:rFonts w:hint="eastAsia" w:ascii="仿宋" w:hAnsi="仿宋" w:eastAsia="仿宋" w:cs="仿宋"/>
          <w:color w:val="auto"/>
          <w:sz w:val="32"/>
          <w:szCs w:val="32"/>
          <w:lang w:val="en-US" w:eastAsia="zh-CN"/>
        </w:rPr>
        <w:t>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4FB0D79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ascii="Times New Roman" w:hAnsi="仿宋" w:eastAsia="仿宋"/>
          <w:color w:val="auto"/>
          <w:sz w:val="30"/>
          <w:szCs w:val="30"/>
        </w:rPr>
      </w:pPr>
      <w:r>
        <w:rPr>
          <w:rFonts w:hint="eastAsia" w:ascii="Times New Roman" w:hAnsi="仿宋" w:eastAsia="仿宋"/>
          <w:color w:val="auto"/>
          <w:sz w:val="30"/>
          <w:szCs w:val="30"/>
        </w:rPr>
        <w:t>4.不同报价人的报价文件相互混装；</w:t>
      </w:r>
    </w:p>
    <w:p w14:paraId="6EFF08A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outlineLvl w:val="9"/>
        <w:rPr>
          <w:rFonts w:hint="eastAsia" w:eastAsia="黑体"/>
          <w:color w:val="auto"/>
          <w:sz w:val="30"/>
          <w:szCs w:val="30"/>
          <w:lang w:val="en-US" w:eastAsia="zh-CN"/>
        </w:rPr>
      </w:pPr>
      <w:r>
        <w:rPr>
          <w:rFonts w:hint="eastAsia" w:ascii="Times New Roman" w:hAnsi="仿宋" w:eastAsia="仿宋"/>
          <w:color w:val="auto"/>
          <w:sz w:val="30"/>
          <w:szCs w:val="30"/>
        </w:rPr>
        <w:t>5.存在其他违反采购公认原则及规定的行为。</w:t>
      </w:r>
    </w:p>
    <w:p w14:paraId="256975C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eastAsia="仿宋"/>
          <w:color w:val="auto"/>
          <w:sz w:val="30"/>
          <w:szCs w:val="30"/>
        </w:rPr>
      </w:pPr>
      <w:r>
        <w:rPr>
          <w:rFonts w:hint="eastAsia" w:eastAsia="黑体"/>
          <w:color w:val="auto"/>
          <w:sz w:val="30"/>
          <w:szCs w:val="30"/>
          <w:lang w:val="en-US" w:eastAsia="zh-CN"/>
        </w:rPr>
        <w:t>八</w:t>
      </w:r>
      <w:r>
        <w:rPr>
          <w:rFonts w:ascii="Times New Roman" w:hAnsi="Times New Roman" w:eastAsia="黑体"/>
          <w:color w:val="auto"/>
          <w:sz w:val="30"/>
          <w:szCs w:val="30"/>
        </w:rPr>
        <w:t>、评分办法</w:t>
      </w:r>
    </w:p>
    <w:p w14:paraId="6F284DD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eastAsia="仿宋"/>
          <w:color w:val="auto"/>
          <w:sz w:val="30"/>
          <w:szCs w:val="30"/>
        </w:rPr>
      </w:pPr>
      <w:r>
        <w:rPr>
          <w:rFonts w:ascii="Times New Roman" w:hAnsi="Times New Roman" w:eastAsia="仿宋"/>
          <w:color w:val="auto"/>
          <w:sz w:val="30"/>
          <w:szCs w:val="30"/>
        </w:rPr>
        <w:t>本项目评审办法采用综合评分法，评委首先对</w:t>
      </w:r>
      <w:r>
        <w:rPr>
          <w:rFonts w:hint="eastAsia" w:eastAsia="仿宋"/>
          <w:color w:val="auto"/>
          <w:sz w:val="30"/>
          <w:szCs w:val="30"/>
        </w:rPr>
        <w:t>报价</w:t>
      </w:r>
      <w:r>
        <w:rPr>
          <w:rFonts w:ascii="Times New Roman" w:hAnsi="Times New Roman" w:eastAsia="仿宋"/>
          <w:color w:val="auto"/>
          <w:sz w:val="30"/>
          <w:szCs w:val="30"/>
        </w:rPr>
        <w:t>单位进行资格审查，然后对通过资格审查的</w:t>
      </w:r>
      <w:r>
        <w:rPr>
          <w:rFonts w:hint="eastAsia" w:eastAsia="仿宋"/>
          <w:color w:val="auto"/>
          <w:sz w:val="30"/>
          <w:szCs w:val="30"/>
        </w:rPr>
        <w:t>报价</w:t>
      </w:r>
      <w:r>
        <w:rPr>
          <w:rFonts w:ascii="Times New Roman" w:hAnsi="Times New Roman" w:eastAsia="仿宋"/>
          <w:color w:val="auto"/>
          <w:sz w:val="30"/>
          <w:szCs w:val="30"/>
        </w:rPr>
        <w:t>单位的报价、</w:t>
      </w:r>
      <w:r>
        <w:rPr>
          <w:rFonts w:hint="eastAsia" w:ascii="Times New Roman" w:hAnsi="Times New Roman" w:eastAsia="仿宋"/>
          <w:color w:val="auto"/>
          <w:sz w:val="30"/>
          <w:szCs w:val="30"/>
          <w:lang w:val="en-US" w:eastAsia="zh-CN"/>
        </w:rPr>
        <w:t>服务方案</w:t>
      </w:r>
      <w:r>
        <w:rPr>
          <w:rFonts w:ascii="Times New Roman" w:hAnsi="Times New Roman" w:eastAsia="仿宋"/>
          <w:color w:val="auto"/>
          <w:sz w:val="30"/>
          <w:szCs w:val="30"/>
        </w:rPr>
        <w:t>等方面按</w:t>
      </w:r>
      <w:r>
        <w:rPr>
          <w:rFonts w:hint="eastAsia" w:ascii="Times New Roman" w:hAnsi="Times New Roman" w:eastAsia="仿宋"/>
          <w:color w:val="auto"/>
          <w:sz w:val="30"/>
          <w:szCs w:val="30"/>
          <w:lang w:val="en-US" w:eastAsia="zh-CN"/>
        </w:rPr>
        <w:t>100</w:t>
      </w:r>
      <w:r>
        <w:rPr>
          <w:rFonts w:ascii="Times New Roman" w:hAnsi="Times New Roman" w:eastAsia="仿宋"/>
          <w:color w:val="auto"/>
          <w:sz w:val="30"/>
          <w:szCs w:val="30"/>
        </w:rPr>
        <w:t>分制进行评分。</w:t>
      </w:r>
    </w:p>
    <w:p w14:paraId="4DF33D84">
      <w:pPr>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firstLine="600" w:firstLineChars="200"/>
        <w:textAlignment w:val="auto"/>
        <w:rPr>
          <w:rFonts w:ascii="Times New Roman" w:hAnsi="仿宋" w:eastAsia="仿宋"/>
          <w:color w:val="auto"/>
          <w:sz w:val="30"/>
          <w:szCs w:val="30"/>
        </w:rPr>
      </w:pPr>
      <w:r>
        <w:rPr>
          <w:rFonts w:hint="eastAsia" w:ascii="Times New Roman" w:hAnsi="仿宋" w:eastAsia="仿宋"/>
          <w:color w:val="auto"/>
          <w:sz w:val="30"/>
          <w:szCs w:val="30"/>
        </w:rPr>
        <w:t>商务文件（权重</w:t>
      </w:r>
      <w:r>
        <w:rPr>
          <w:rFonts w:hint="eastAsia" w:ascii="Times New Roman" w:hAnsi="仿宋" w:eastAsia="仿宋"/>
          <w:color w:val="auto"/>
          <w:sz w:val="30"/>
          <w:szCs w:val="30"/>
          <w:lang w:val="en-US" w:eastAsia="zh-CN"/>
        </w:rPr>
        <w:t>15</w:t>
      </w:r>
      <w:r>
        <w:rPr>
          <w:rFonts w:hint="eastAsia" w:ascii="Times New Roman" w:hAnsi="仿宋" w:eastAsia="仿宋"/>
          <w:color w:val="auto"/>
          <w:sz w:val="30"/>
          <w:szCs w:val="30"/>
        </w:rPr>
        <w:t>%，满分</w:t>
      </w:r>
      <w:r>
        <w:rPr>
          <w:rFonts w:hint="eastAsia" w:ascii="Times New Roman" w:hAnsi="仿宋" w:eastAsia="仿宋"/>
          <w:color w:val="auto"/>
          <w:sz w:val="30"/>
          <w:szCs w:val="30"/>
          <w:lang w:val="en-US" w:eastAsia="zh-CN"/>
        </w:rPr>
        <w:t>15</w:t>
      </w:r>
      <w:r>
        <w:rPr>
          <w:rFonts w:hint="eastAsia" w:ascii="Times New Roman" w:hAnsi="仿宋" w:eastAsia="仿宋"/>
          <w:color w:val="auto"/>
          <w:sz w:val="30"/>
          <w:szCs w:val="30"/>
        </w:rPr>
        <w:t>分）</w:t>
      </w:r>
    </w:p>
    <w:p w14:paraId="5C6A768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Times New Roman" w:hAnsi="仿宋" w:eastAsia="仿宋"/>
          <w:color w:val="auto"/>
          <w:sz w:val="30"/>
          <w:szCs w:val="30"/>
        </w:rPr>
      </w:pPr>
      <w:r>
        <w:rPr>
          <w:rFonts w:hint="eastAsia" w:ascii="Times New Roman" w:hAnsi="仿宋" w:eastAsia="仿宋"/>
          <w:color w:val="auto"/>
          <w:sz w:val="30"/>
          <w:szCs w:val="30"/>
        </w:rPr>
        <w:t>根据</w:t>
      </w:r>
      <w:r>
        <w:rPr>
          <w:rFonts w:hint="eastAsia" w:ascii="Times New Roman" w:hAnsi="仿宋" w:eastAsia="仿宋"/>
          <w:color w:val="auto"/>
          <w:sz w:val="30"/>
          <w:szCs w:val="30"/>
          <w:lang w:val="en-US" w:eastAsia="zh-CN"/>
        </w:rPr>
        <w:t>满足比选文件要求的所有会计师事务所审计费用报价的平均值为选聘基准价，按照下列公式计算审计费用报价得分：</w:t>
      </w:r>
    </w:p>
    <w:p w14:paraId="6A8270D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Times New Roman" w:hAnsi="仿宋" w:eastAsia="仿宋"/>
          <w:color w:val="auto"/>
          <w:sz w:val="30"/>
          <w:szCs w:val="30"/>
        </w:rPr>
      </w:pPr>
      <w:r>
        <w:rPr>
          <w:rFonts w:hint="eastAsia" w:ascii="Times New Roman" w:hAnsi="Times New Roman" w:eastAsia="仿宋"/>
          <w:color w:val="auto"/>
          <w:sz w:val="30"/>
          <w:szCs w:val="30"/>
          <w:lang w:val="en-US" w:eastAsia="zh-CN"/>
        </w:rPr>
        <w:t>审计费用报价得分=（1</w:t>
      </w:r>
      <w:r>
        <w:rPr>
          <w:rFonts w:hint="eastAsia" w:ascii="宋体" w:hAnsi="宋体" w:eastAsia="宋体" w:cs="宋体"/>
          <w:color w:val="auto"/>
          <w:sz w:val="30"/>
          <w:szCs w:val="30"/>
          <w:lang w:val="en-US" w:eastAsia="zh-CN"/>
        </w:rPr>
        <w:t>－</w:t>
      </w:r>
      <w:r>
        <w:rPr>
          <w:rFonts w:hint="eastAsia" w:ascii="Times New Roman" w:hAnsi="Times New Roman" w:eastAsia="仿宋"/>
          <w:color w:val="auto"/>
          <w:sz w:val="30"/>
          <w:szCs w:val="30"/>
          <w:lang w:val="en-US" w:eastAsia="zh-CN"/>
        </w:rPr>
        <w:t>|选聘基准价</w:t>
      </w:r>
      <w:r>
        <w:rPr>
          <w:rFonts w:hint="eastAsia" w:ascii="宋体" w:hAnsi="宋体" w:eastAsia="宋体" w:cs="宋体"/>
          <w:color w:val="auto"/>
          <w:sz w:val="30"/>
          <w:szCs w:val="30"/>
          <w:lang w:val="en-US" w:eastAsia="zh-CN"/>
        </w:rPr>
        <w:t>－</w:t>
      </w:r>
      <w:r>
        <w:rPr>
          <w:rFonts w:hint="eastAsia" w:ascii="Times New Roman" w:hAnsi="Times New Roman" w:eastAsia="仿宋"/>
          <w:color w:val="auto"/>
          <w:sz w:val="30"/>
          <w:szCs w:val="30"/>
          <w:lang w:val="en-US" w:eastAsia="zh-CN"/>
        </w:rPr>
        <w:t>审计费用报价|/选聘基准价）</w:t>
      </w:r>
      <w:r>
        <w:rPr>
          <w:rFonts w:hint="default" w:ascii="Arial" w:hAnsi="Arial" w:eastAsia="仿宋" w:cs="Arial"/>
          <w:color w:val="auto"/>
          <w:sz w:val="30"/>
          <w:szCs w:val="30"/>
          <w:lang w:val="en-US" w:eastAsia="zh-CN"/>
        </w:rPr>
        <w:t>×</w:t>
      </w:r>
      <w:r>
        <w:rPr>
          <w:rFonts w:hint="eastAsia" w:ascii="Arial" w:hAnsi="Arial" w:eastAsia="仿宋" w:cs="Arial"/>
          <w:color w:val="auto"/>
          <w:sz w:val="30"/>
          <w:szCs w:val="30"/>
          <w:lang w:val="en-US" w:eastAsia="zh-CN"/>
        </w:rPr>
        <w:t>权重</w:t>
      </w:r>
      <w:r>
        <w:rPr>
          <w:rFonts w:hint="eastAsia" w:ascii="Times New Roman" w:hAnsi="仿宋" w:eastAsia="仿宋"/>
          <w:color w:val="auto"/>
          <w:sz w:val="30"/>
          <w:szCs w:val="30"/>
          <w:lang w:val="en-US" w:eastAsia="zh-CN"/>
        </w:rPr>
        <w:t>15%</w:t>
      </w:r>
      <w:r>
        <w:rPr>
          <w:rFonts w:hint="eastAsia" w:ascii="Times New Roman" w:hAnsi="Times New Roman" w:eastAsia="仿宋"/>
          <w:color w:val="auto"/>
          <w:sz w:val="30"/>
          <w:szCs w:val="30"/>
        </w:rPr>
        <w:t>。</w:t>
      </w:r>
    </w:p>
    <w:p w14:paraId="43B7D29A">
      <w:pPr>
        <w:keepNext w:val="0"/>
        <w:keepLines w:val="0"/>
        <w:pageBreakBefore w:val="0"/>
        <w:widowControl w:val="0"/>
        <w:numPr>
          <w:ilvl w:val="0"/>
          <w:numId w:val="2"/>
        </w:numPr>
        <w:kinsoku/>
        <w:wordWrap/>
        <w:overflowPunct/>
        <w:topLinePunct w:val="0"/>
        <w:autoSpaceDE/>
        <w:autoSpaceDN/>
        <w:bidi w:val="0"/>
        <w:adjustRightInd w:val="0"/>
        <w:snapToGrid w:val="0"/>
        <w:spacing w:after="81" w:afterLines="25" w:line="540" w:lineRule="exact"/>
        <w:ind w:firstLine="600" w:firstLineChars="200"/>
        <w:textAlignment w:val="auto"/>
        <w:rPr>
          <w:rFonts w:ascii="Times New Roman" w:hAnsi="仿宋" w:eastAsia="仿宋"/>
          <w:color w:val="auto"/>
          <w:sz w:val="30"/>
          <w:szCs w:val="30"/>
        </w:rPr>
      </w:pPr>
      <w:r>
        <w:rPr>
          <w:rFonts w:hint="eastAsia" w:ascii="Times New Roman" w:hAnsi="仿宋" w:eastAsia="仿宋"/>
          <w:color w:val="auto"/>
          <w:sz w:val="30"/>
          <w:szCs w:val="30"/>
        </w:rPr>
        <w:t>技术文件（权重</w:t>
      </w:r>
      <w:r>
        <w:rPr>
          <w:rFonts w:hint="eastAsia" w:ascii="Times New Roman" w:hAnsi="仿宋" w:eastAsia="仿宋"/>
          <w:color w:val="auto"/>
          <w:sz w:val="30"/>
          <w:szCs w:val="30"/>
          <w:lang w:val="en-US" w:eastAsia="zh-CN"/>
        </w:rPr>
        <w:t>85</w:t>
      </w:r>
      <w:r>
        <w:rPr>
          <w:rFonts w:hint="eastAsia" w:ascii="Times New Roman" w:hAnsi="仿宋" w:eastAsia="仿宋"/>
          <w:color w:val="auto"/>
          <w:sz w:val="30"/>
          <w:szCs w:val="30"/>
        </w:rPr>
        <w:t>%，满分</w:t>
      </w:r>
      <w:r>
        <w:rPr>
          <w:rFonts w:hint="eastAsia" w:ascii="Times New Roman" w:hAnsi="仿宋" w:eastAsia="仿宋"/>
          <w:color w:val="auto"/>
          <w:sz w:val="30"/>
          <w:szCs w:val="30"/>
          <w:lang w:val="en-US" w:eastAsia="zh-CN"/>
        </w:rPr>
        <w:t>85</w:t>
      </w:r>
      <w:r>
        <w:rPr>
          <w:rFonts w:hint="eastAsia" w:ascii="Times New Roman" w:hAnsi="仿宋" w:eastAsia="仿宋"/>
          <w:color w:val="auto"/>
          <w:sz w:val="30"/>
          <w:szCs w:val="30"/>
        </w:rPr>
        <w:t>分）</w:t>
      </w:r>
    </w:p>
    <w:tbl>
      <w:tblPr>
        <w:tblStyle w:val="7"/>
        <w:tblW w:w="9060"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245"/>
        <w:gridCol w:w="1437"/>
        <w:gridCol w:w="3178"/>
        <w:gridCol w:w="2478"/>
      </w:tblGrid>
      <w:tr w14:paraId="51421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blHeader/>
        </w:trPr>
        <w:tc>
          <w:tcPr>
            <w:tcW w:w="722" w:type="dxa"/>
            <w:vAlign w:val="center"/>
          </w:tcPr>
          <w:p w14:paraId="16F0F6D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53" w:leftChars="-25" w:right="-53" w:rightChars="-25"/>
              <w:jc w:val="center"/>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序号</w:t>
            </w:r>
          </w:p>
        </w:tc>
        <w:tc>
          <w:tcPr>
            <w:tcW w:w="1245" w:type="dxa"/>
            <w:vAlign w:val="center"/>
          </w:tcPr>
          <w:p w14:paraId="6F05A1FA">
            <w:pPr>
              <w:keepNext w:val="0"/>
              <w:keepLines w:val="0"/>
              <w:pageBreakBefore w:val="0"/>
              <w:widowControl w:val="0"/>
              <w:numPr>
                <w:ilvl w:val="0"/>
                <w:numId w:val="0"/>
              </w:numPr>
              <w:kinsoku/>
              <w:wordWrap/>
              <w:overflowPunct/>
              <w:topLinePunct w:val="0"/>
              <w:autoSpaceDE/>
              <w:autoSpaceDN/>
              <w:bidi w:val="0"/>
              <w:adjustRightInd w:val="0"/>
              <w:snapToGrid w:val="0"/>
              <w:spacing w:line="340" w:lineRule="exact"/>
              <w:jc w:val="center"/>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评审项目</w:t>
            </w:r>
          </w:p>
        </w:tc>
        <w:tc>
          <w:tcPr>
            <w:tcW w:w="1437" w:type="dxa"/>
            <w:vAlign w:val="center"/>
          </w:tcPr>
          <w:p w14:paraId="18E6CD3E">
            <w:pPr>
              <w:numPr>
                <w:ilvl w:val="0"/>
                <w:numId w:val="0"/>
              </w:numPr>
              <w:spacing w:line="360" w:lineRule="exact"/>
              <w:jc w:val="center"/>
              <w:rPr>
                <w:rFonts w:ascii="仿宋" w:hAnsi="仿宋" w:eastAsia="仿宋" w:cs="仿宋"/>
                <w:b/>
                <w:bCs/>
                <w:color w:val="auto"/>
                <w:sz w:val="24"/>
                <w:szCs w:val="24"/>
              </w:rPr>
            </w:pPr>
            <w:r>
              <w:rPr>
                <w:rFonts w:hint="eastAsia" w:ascii="仿宋" w:hAnsi="仿宋" w:eastAsia="仿宋" w:cs="仿宋"/>
                <w:b/>
                <w:bCs/>
                <w:color w:val="auto"/>
                <w:sz w:val="24"/>
                <w:szCs w:val="24"/>
              </w:rPr>
              <w:t>权重</w:t>
            </w:r>
          </w:p>
        </w:tc>
        <w:tc>
          <w:tcPr>
            <w:tcW w:w="3178" w:type="dxa"/>
            <w:vAlign w:val="center"/>
          </w:tcPr>
          <w:p w14:paraId="10ED486C">
            <w:pPr>
              <w:numPr>
                <w:ilvl w:val="0"/>
                <w:numId w:val="0"/>
              </w:numPr>
              <w:spacing w:line="360" w:lineRule="exact"/>
              <w:jc w:val="center"/>
              <w:rPr>
                <w:rFonts w:ascii="仿宋" w:hAnsi="仿宋" w:eastAsia="仿宋" w:cs="仿宋"/>
                <w:b/>
                <w:bCs/>
                <w:color w:val="auto"/>
                <w:sz w:val="24"/>
                <w:szCs w:val="24"/>
              </w:rPr>
            </w:pPr>
            <w:r>
              <w:rPr>
                <w:rFonts w:hint="eastAsia" w:ascii="仿宋" w:hAnsi="仿宋" w:eastAsia="仿宋" w:cs="仿宋"/>
                <w:b/>
                <w:bCs/>
                <w:color w:val="auto"/>
                <w:sz w:val="24"/>
                <w:szCs w:val="24"/>
              </w:rPr>
              <w:t>评审依据</w:t>
            </w:r>
          </w:p>
        </w:tc>
        <w:tc>
          <w:tcPr>
            <w:tcW w:w="2478" w:type="dxa"/>
            <w:vAlign w:val="center"/>
          </w:tcPr>
          <w:p w14:paraId="1A3DD1D8">
            <w:pPr>
              <w:numPr>
                <w:ilvl w:val="0"/>
                <w:numId w:val="0"/>
              </w:numPr>
              <w:spacing w:line="360" w:lineRule="exact"/>
              <w:jc w:val="center"/>
              <w:rPr>
                <w:rFonts w:ascii="仿宋" w:hAnsi="仿宋" w:eastAsia="仿宋" w:cs="仿宋"/>
                <w:b/>
                <w:bCs/>
                <w:color w:val="auto"/>
                <w:sz w:val="24"/>
                <w:szCs w:val="24"/>
              </w:rPr>
            </w:pPr>
            <w:r>
              <w:rPr>
                <w:rFonts w:hint="eastAsia" w:ascii="仿宋" w:hAnsi="仿宋" w:eastAsia="仿宋" w:cs="仿宋"/>
                <w:b/>
                <w:bCs/>
                <w:color w:val="auto"/>
                <w:sz w:val="24"/>
                <w:szCs w:val="24"/>
              </w:rPr>
              <w:t>评分规则</w:t>
            </w:r>
          </w:p>
        </w:tc>
      </w:tr>
      <w:tr w14:paraId="27C8C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722" w:type="dxa"/>
            <w:vAlign w:val="center"/>
          </w:tcPr>
          <w:p w14:paraId="6704EC3C">
            <w:pPr>
              <w:keepNext w:val="0"/>
              <w:keepLines w:val="0"/>
              <w:pageBreakBefore w:val="0"/>
              <w:widowControl w:val="0"/>
              <w:numPr>
                <w:ilvl w:val="0"/>
                <w:numId w:val="0"/>
              </w:numPr>
              <w:kinsoku/>
              <w:wordWrap/>
              <w:overflowPunct/>
              <w:topLinePunct w:val="0"/>
              <w:autoSpaceDE/>
              <w:autoSpaceDN/>
              <w:bidi w:val="0"/>
              <w:adjustRightInd w:val="0"/>
              <w:snapToGrid w:val="0"/>
              <w:spacing w:line="340" w:lineRule="exact"/>
              <w:ind w:left="0" w:leftChars="0"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sz w:val="24"/>
                <w:szCs w:val="24"/>
                <w:lang w:eastAsia="zh-CN"/>
              </w:rPr>
              <w:t>1</w:t>
            </w:r>
          </w:p>
        </w:tc>
        <w:tc>
          <w:tcPr>
            <w:tcW w:w="1245" w:type="dxa"/>
            <w:vAlign w:val="center"/>
          </w:tcPr>
          <w:p w14:paraId="27401D5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ascii="仿宋" w:hAnsi="仿宋" w:eastAsia="仿宋" w:cs="仿宋"/>
                <w:color w:val="auto"/>
                <w:sz w:val="24"/>
                <w:szCs w:val="24"/>
                <w:highlight w:val="none"/>
              </w:rPr>
            </w:pPr>
            <w:r>
              <w:rPr>
                <w:rFonts w:hint="eastAsia" w:ascii="仿宋" w:hAnsi="仿宋" w:eastAsia="仿宋" w:cs="仿宋"/>
                <w:sz w:val="24"/>
                <w:szCs w:val="24"/>
                <w:highlight w:val="none"/>
              </w:rPr>
              <w:t>业绩</w:t>
            </w:r>
          </w:p>
        </w:tc>
        <w:tc>
          <w:tcPr>
            <w:tcW w:w="1437" w:type="dxa"/>
            <w:vAlign w:val="center"/>
          </w:tcPr>
          <w:p w14:paraId="796DDA1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center"/>
              <w:textAlignment w:val="auto"/>
              <w:rPr>
                <w:rFonts w:ascii="仿宋" w:hAnsi="仿宋" w:eastAsia="仿宋" w:cs="仿宋"/>
                <w:sz w:val="24"/>
                <w:szCs w:val="24"/>
                <w:highlight w:val="none"/>
              </w:rPr>
            </w:pPr>
            <w:r>
              <w:rPr>
                <w:rFonts w:hint="eastAsia" w:ascii="仿宋" w:hAnsi="仿宋" w:eastAsia="仿宋" w:cs="仿宋"/>
                <w:sz w:val="24"/>
                <w:szCs w:val="24"/>
                <w:highlight w:val="none"/>
              </w:rPr>
              <w:t>权重</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w:t>
            </w:r>
          </w:p>
          <w:p w14:paraId="32B707C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ascii="仿宋" w:hAnsi="仿宋" w:eastAsia="仿宋" w:cs="仿宋"/>
                <w:color w:val="auto"/>
                <w:sz w:val="24"/>
                <w:szCs w:val="24"/>
                <w:highlight w:val="none"/>
              </w:rPr>
            </w:pPr>
            <w:r>
              <w:rPr>
                <w:rFonts w:hint="eastAsia" w:ascii="仿宋" w:hAnsi="仿宋" w:eastAsia="仿宋" w:cs="仿宋"/>
                <w:sz w:val="24"/>
                <w:szCs w:val="24"/>
                <w:highlight w:val="none"/>
              </w:rPr>
              <w:t>满分</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分</w:t>
            </w:r>
          </w:p>
        </w:tc>
        <w:tc>
          <w:tcPr>
            <w:tcW w:w="3178" w:type="dxa"/>
            <w:vAlign w:val="center"/>
          </w:tcPr>
          <w:p w14:paraId="6AF6A2B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left"/>
              <w:textAlignment w:val="auto"/>
              <w:rPr>
                <w:rFonts w:ascii="仿宋" w:hAnsi="仿宋" w:eastAsia="仿宋" w:cs="仿宋"/>
                <w:color w:val="auto"/>
                <w:sz w:val="24"/>
                <w:szCs w:val="24"/>
                <w:highlight w:val="none"/>
              </w:rPr>
            </w:pPr>
            <w:r>
              <w:rPr>
                <w:rFonts w:hint="eastAsia" w:ascii="仿宋" w:hAnsi="仿宋" w:eastAsia="仿宋" w:cs="仿宋"/>
                <w:sz w:val="24"/>
                <w:szCs w:val="24"/>
                <w:highlight w:val="none"/>
              </w:rPr>
              <w:t>根据所附业绩合同或中标通知书数量、合同金额大小</w:t>
            </w:r>
            <w:r>
              <w:rPr>
                <w:rFonts w:hint="eastAsia" w:ascii="仿宋" w:hAnsi="仿宋" w:eastAsia="仿宋" w:cs="仿宋"/>
                <w:sz w:val="24"/>
                <w:szCs w:val="24"/>
                <w:highlight w:val="none"/>
                <w:lang w:eastAsia="zh-CN"/>
              </w:rPr>
              <w:t>、项目规模</w:t>
            </w:r>
            <w:r>
              <w:rPr>
                <w:rFonts w:hint="eastAsia" w:ascii="仿宋" w:hAnsi="仿宋" w:eastAsia="仿宋" w:cs="仿宋"/>
                <w:sz w:val="24"/>
                <w:szCs w:val="24"/>
                <w:highlight w:val="none"/>
              </w:rPr>
              <w:t>等方面进行横向对比评审，评审按五个档进行</w:t>
            </w:r>
          </w:p>
        </w:tc>
        <w:tc>
          <w:tcPr>
            <w:tcW w:w="2478" w:type="dxa"/>
            <w:vAlign w:val="center"/>
          </w:tcPr>
          <w:p w14:paraId="5B357551">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1为不合格</w:t>
            </w:r>
          </w:p>
          <w:p w14:paraId="6EB51862">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（得分为1/5*</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w:t>
            </w:r>
          </w:p>
          <w:p w14:paraId="4E3711F7">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2为</w:t>
            </w:r>
            <w:r>
              <w:rPr>
                <w:rFonts w:hint="eastAsia" w:ascii="仿宋" w:hAnsi="仿宋" w:eastAsia="仿宋" w:cs="仿宋"/>
                <w:sz w:val="24"/>
                <w:szCs w:val="24"/>
                <w:highlight w:val="none"/>
                <w:lang w:val="en-US" w:eastAsia="zh-CN"/>
              </w:rPr>
              <w:t>合格</w:t>
            </w:r>
          </w:p>
          <w:p w14:paraId="6C922DA4">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（得分为2/5*</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w:t>
            </w:r>
          </w:p>
          <w:p w14:paraId="5ABCF6C3">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3为</w:t>
            </w:r>
            <w:r>
              <w:rPr>
                <w:rFonts w:hint="eastAsia" w:ascii="仿宋" w:hAnsi="仿宋" w:eastAsia="仿宋" w:cs="仿宋"/>
                <w:sz w:val="24"/>
                <w:szCs w:val="24"/>
                <w:highlight w:val="none"/>
                <w:lang w:val="en-US" w:eastAsia="zh-CN"/>
              </w:rPr>
              <w:t>一般</w:t>
            </w:r>
          </w:p>
          <w:p w14:paraId="5F55572F">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（得分为3/5*</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w:t>
            </w:r>
          </w:p>
          <w:p w14:paraId="7313F42C">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4为良好</w:t>
            </w:r>
          </w:p>
          <w:p w14:paraId="2F3A7627">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（得分为4/5*</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w:t>
            </w:r>
          </w:p>
          <w:p w14:paraId="386BC17A">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5为优秀</w:t>
            </w:r>
          </w:p>
          <w:p w14:paraId="686549A5">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color w:val="auto"/>
                <w:sz w:val="24"/>
                <w:szCs w:val="24"/>
                <w:highlight w:val="none"/>
              </w:rPr>
            </w:pPr>
            <w:r>
              <w:rPr>
                <w:rFonts w:hint="eastAsia" w:ascii="仿宋" w:hAnsi="仿宋" w:eastAsia="仿宋" w:cs="仿宋"/>
                <w:sz w:val="24"/>
                <w:szCs w:val="24"/>
                <w:highlight w:val="none"/>
              </w:rPr>
              <w:t>（得分为5/5*</w:t>
            </w:r>
            <w:r>
              <w:rPr>
                <w:rFonts w:hint="eastAsia" w:ascii="仿宋" w:hAnsi="仿宋" w:eastAsia="仿宋" w:cs="仿宋"/>
                <w:sz w:val="24"/>
                <w:szCs w:val="24"/>
                <w:highlight w:val="none"/>
                <w:lang w:val="en-US" w:eastAsia="zh-CN"/>
              </w:rPr>
              <w:t>12</w:t>
            </w:r>
            <w:r>
              <w:rPr>
                <w:rFonts w:hint="eastAsia" w:ascii="仿宋" w:hAnsi="仿宋" w:eastAsia="仿宋" w:cs="仿宋"/>
                <w:sz w:val="24"/>
                <w:szCs w:val="24"/>
                <w:highlight w:val="none"/>
              </w:rPr>
              <w:t>）。</w:t>
            </w:r>
          </w:p>
        </w:tc>
      </w:tr>
      <w:tr w14:paraId="47BF9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trPr>
        <w:tc>
          <w:tcPr>
            <w:tcW w:w="722" w:type="dxa"/>
            <w:vAlign w:val="center"/>
          </w:tcPr>
          <w:p w14:paraId="11C00C37">
            <w:pPr>
              <w:keepNext w:val="0"/>
              <w:keepLines w:val="0"/>
              <w:pageBreakBefore w:val="0"/>
              <w:widowControl w:val="0"/>
              <w:numPr>
                <w:ilvl w:val="0"/>
                <w:numId w:val="0"/>
              </w:numPr>
              <w:kinsoku/>
              <w:wordWrap/>
              <w:overflowPunct/>
              <w:topLinePunct w:val="0"/>
              <w:autoSpaceDE/>
              <w:autoSpaceDN/>
              <w:bidi w:val="0"/>
              <w:adjustRightInd w:val="0"/>
              <w:snapToGrid w:val="0"/>
              <w:spacing w:line="340" w:lineRule="exact"/>
              <w:ind w:left="0" w:leftChars="0" w:firstLine="0" w:firstLineChars="0"/>
              <w:jc w:val="center"/>
              <w:textAlignment w:val="auto"/>
              <w:rPr>
                <w:rFonts w:hint="eastAsia" w:ascii="仿宋" w:hAnsi="仿宋" w:eastAsia="仿宋" w:cs="仿宋"/>
                <w:color w:val="auto"/>
                <w:sz w:val="24"/>
                <w:szCs w:val="24"/>
              </w:rPr>
            </w:pPr>
            <w:r>
              <w:rPr>
                <w:rFonts w:hint="eastAsia" w:ascii="仿宋" w:hAnsi="仿宋" w:eastAsia="仿宋" w:cs="仿宋"/>
                <w:sz w:val="24"/>
                <w:szCs w:val="24"/>
                <w:lang w:eastAsia="zh-CN"/>
              </w:rPr>
              <w:t>2</w:t>
            </w:r>
          </w:p>
        </w:tc>
        <w:tc>
          <w:tcPr>
            <w:tcW w:w="1245" w:type="dxa"/>
            <w:vAlign w:val="center"/>
          </w:tcPr>
          <w:p w14:paraId="70DF1F4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sz w:val="24"/>
                <w:szCs w:val="24"/>
                <w:highlight w:val="none"/>
                <w:lang w:val="en-US" w:eastAsia="zh-CN"/>
              </w:rPr>
              <w:t>工作组织</w:t>
            </w:r>
          </w:p>
        </w:tc>
        <w:tc>
          <w:tcPr>
            <w:tcW w:w="1437" w:type="dxa"/>
            <w:vAlign w:val="center"/>
          </w:tcPr>
          <w:p w14:paraId="6BD731C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center"/>
              <w:textAlignment w:val="auto"/>
              <w:rPr>
                <w:rFonts w:ascii="仿宋" w:hAnsi="仿宋" w:eastAsia="仿宋" w:cs="仿宋"/>
                <w:sz w:val="24"/>
                <w:szCs w:val="24"/>
                <w:highlight w:val="none"/>
              </w:rPr>
            </w:pPr>
            <w:r>
              <w:rPr>
                <w:rFonts w:hint="eastAsia" w:ascii="仿宋" w:hAnsi="仿宋" w:eastAsia="仿宋" w:cs="仿宋"/>
                <w:sz w:val="24"/>
                <w:szCs w:val="24"/>
                <w:highlight w:val="none"/>
              </w:rPr>
              <w:t>权重</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w:t>
            </w:r>
          </w:p>
          <w:p w14:paraId="7683585E">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ascii="仿宋" w:hAnsi="仿宋" w:eastAsia="仿宋" w:cs="仿宋"/>
                <w:color w:val="auto"/>
                <w:sz w:val="24"/>
                <w:szCs w:val="24"/>
                <w:highlight w:val="none"/>
              </w:rPr>
            </w:pPr>
            <w:r>
              <w:rPr>
                <w:rFonts w:hint="eastAsia" w:ascii="仿宋" w:hAnsi="仿宋" w:eastAsia="仿宋" w:cs="仿宋"/>
                <w:sz w:val="24"/>
                <w:szCs w:val="24"/>
                <w:highlight w:val="none"/>
              </w:rPr>
              <w:t>满分</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分</w:t>
            </w:r>
          </w:p>
        </w:tc>
        <w:tc>
          <w:tcPr>
            <w:tcW w:w="3178" w:type="dxa"/>
            <w:vAlign w:val="center"/>
          </w:tcPr>
          <w:p w14:paraId="1A7C3A7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left"/>
              <w:textAlignment w:val="auto"/>
              <w:rPr>
                <w:rFonts w:ascii="仿宋" w:hAnsi="仿宋" w:eastAsia="仿宋" w:cs="仿宋"/>
                <w:color w:val="auto"/>
                <w:sz w:val="24"/>
                <w:szCs w:val="24"/>
                <w:highlight w:val="none"/>
              </w:rPr>
            </w:pPr>
            <w:r>
              <w:rPr>
                <w:rFonts w:hint="eastAsia" w:ascii="仿宋" w:hAnsi="仿宋" w:eastAsia="仿宋" w:cs="仿宋"/>
                <w:sz w:val="24"/>
                <w:szCs w:val="24"/>
                <w:highlight w:val="none"/>
              </w:rPr>
              <w:t>根据</w:t>
            </w:r>
            <w:r>
              <w:rPr>
                <w:rFonts w:hint="eastAsia" w:ascii="Times New Roman" w:hAnsi="仿宋" w:eastAsia="仿宋"/>
                <w:color w:val="auto"/>
                <w:sz w:val="24"/>
                <w:szCs w:val="24"/>
                <w:highlight w:val="none"/>
                <w:lang w:eastAsia="zh-CN"/>
              </w:rPr>
              <w:t>服务工作组织计划</w:t>
            </w:r>
            <w:r>
              <w:rPr>
                <w:rFonts w:hint="eastAsia" w:ascii="仿宋" w:hAnsi="仿宋" w:eastAsia="仿宋" w:cs="仿宋"/>
                <w:sz w:val="24"/>
                <w:szCs w:val="24"/>
                <w:highlight w:val="none"/>
              </w:rPr>
              <w:t>是否合理可行等方面的内容进行横向对比评审，评审按五个档进行</w:t>
            </w:r>
          </w:p>
        </w:tc>
        <w:tc>
          <w:tcPr>
            <w:tcW w:w="2478" w:type="dxa"/>
            <w:vAlign w:val="center"/>
          </w:tcPr>
          <w:p w14:paraId="33B60371">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1为不合格</w:t>
            </w:r>
          </w:p>
          <w:p w14:paraId="7B2C9791">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（得分为1/5*</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w:t>
            </w:r>
          </w:p>
          <w:p w14:paraId="59044037">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2为</w:t>
            </w:r>
            <w:r>
              <w:rPr>
                <w:rFonts w:hint="eastAsia" w:ascii="仿宋" w:hAnsi="仿宋" w:eastAsia="仿宋" w:cs="仿宋"/>
                <w:sz w:val="24"/>
                <w:szCs w:val="24"/>
                <w:highlight w:val="none"/>
                <w:lang w:val="en-US" w:eastAsia="zh-CN"/>
              </w:rPr>
              <w:t>合格</w:t>
            </w:r>
          </w:p>
          <w:p w14:paraId="43B64F88">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（得分为2/5*</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w:t>
            </w:r>
          </w:p>
          <w:p w14:paraId="600681E6">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3为</w:t>
            </w:r>
            <w:r>
              <w:rPr>
                <w:rFonts w:hint="eastAsia" w:ascii="仿宋" w:hAnsi="仿宋" w:eastAsia="仿宋" w:cs="仿宋"/>
                <w:sz w:val="24"/>
                <w:szCs w:val="24"/>
                <w:highlight w:val="none"/>
                <w:lang w:val="en-US" w:eastAsia="zh-CN"/>
              </w:rPr>
              <w:t>一般</w:t>
            </w:r>
          </w:p>
          <w:p w14:paraId="1295E999">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（得分为3/5*</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w:t>
            </w:r>
          </w:p>
          <w:p w14:paraId="3AFC79FB">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4为良好</w:t>
            </w:r>
          </w:p>
          <w:p w14:paraId="1BC6D5F2">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（得分为4/5*</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w:t>
            </w:r>
          </w:p>
          <w:p w14:paraId="47CED229">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5为优秀</w:t>
            </w:r>
          </w:p>
          <w:p w14:paraId="2D5CECC9">
            <w:pPr>
              <w:keepNext w:val="0"/>
              <w:keepLines w:val="0"/>
              <w:pageBreakBefore w:val="0"/>
              <w:widowControl w:val="0"/>
              <w:kinsoku/>
              <w:wordWrap/>
              <w:overflowPunct/>
              <w:topLinePunct w:val="0"/>
              <w:autoSpaceDE/>
              <w:autoSpaceDN/>
              <w:bidi w:val="0"/>
              <w:adjustRightInd w:val="0"/>
              <w:snapToGrid w:val="0"/>
              <w:spacing w:line="320" w:lineRule="exact"/>
              <w:textAlignment w:val="auto"/>
              <w:rPr>
                <w:rFonts w:ascii="仿宋" w:hAnsi="仿宋" w:eastAsia="仿宋" w:cs="仿宋"/>
                <w:color w:val="auto"/>
                <w:sz w:val="24"/>
                <w:szCs w:val="24"/>
                <w:highlight w:val="none"/>
              </w:rPr>
            </w:pPr>
            <w:r>
              <w:rPr>
                <w:rFonts w:hint="eastAsia" w:ascii="仿宋" w:hAnsi="仿宋" w:eastAsia="仿宋" w:cs="仿宋"/>
                <w:sz w:val="24"/>
                <w:szCs w:val="24"/>
                <w:highlight w:val="none"/>
              </w:rPr>
              <w:t>（得分为5/5*</w:t>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w:t>
            </w:r>
          </w:p>
        </w:tc>
      </w:tr>
      <w:tr w14:paraId="63B1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7" w:hRule="atLeast"/>
        </w:trPr>
        <w:tc>
          <w:tcPr>
            <w:tcW w:w="722" w:type="dxa"/>
            <w:vAlign w:val="center"/>
          </w:tcPr>
          <w:p w14:paraId="7B8B4002">
            <w:pPr>
              <w:keepNext w:val="0"/>
              <w:keepLines w:val="0"/>
              <w:pageBreakBefore w:val="0"/>
              <w:widowControl w:val="0"/>
              <w:numPr>
                <w:ilvl w:val="0"/>
                <w:numId w:val="0"/>
              </w:numPr>
              <w:kinsoku/>
              <w:wordWrap/>
              <w:overflowPunct/>
              <w:topLinePunct w:val="0"/>
              <w:autoSpaceDE/>
              <w:autoSpaceDN/>
              <w:bidi w:val="0"/>
              <w:adjustRightInd w:val="0"/>
              <w:snapToGrid w:val="0"/>
              <w:spacing w:line="340" w:lineRule="exact"/>
              <w:ind w:left="0" w:leftChars="0" w:firstLine="0" w:firstLineChars="0"/>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sz w:val="24"/>
                <w:szCs w:val="24"/>
                <w:lang w:val="en-US" w:eastAsia="zh-CN"/>
              </w:rPr>
              <w:t>3</w:t>
            </w:r>
          </w:p>
        </w:tc>
        <w:tc>
          <w:tcPr>
            <w:tcW w:w="1245" w:type="dxa"/>
            <w:vAlign w:val="center"/>
          </w:tcPr>
          <w:p w14:paraId="5B24BF5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sz w:val="24"/>
                <w:szCs w:val="24"/>
                <w:highlight w:val="none"/>
                <w:lang w:val="en-US" w:eastAsia="zh-CN"/>
              </w:rPr>
              <w:t>质量管理水平</w:t>
            </w:r>
          </w:p>
        </w:tc>
        <w:tc>
          <w:tcPr>
            <w:tcW w:w="1437" w:type="dxa"/>
            <w:vAlign w:val="center"/>
          </w:tcPr>
          <w:p w14:paraId="003CA74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center"/>
              <w:textAlignment w:val="auto"/>
              <w:rPr>
                <w:rFonts w:ascii="仿宋" w:hAnsi="仿宋" w:eastAsia="仿宋" w:cs="仿宋"/>
                <w:sz w:val="24"/>
                <w:szCs w:val="24"/>
                <w:highlight w:val="none"/>
              </w:rPr>
            </w:pPr>
            <w:r>
              <w:rPr>
                <w:rFonts w:hint="eastAsia" w:ascii="仿宋" w:hAnsi="仿宋" w:eastAsia="仿宋" w:cs="仿宋"/>
                <w:sz w:val="24"/>
                <w:szCs w:val="24"/>
                <w:highlight w:val="none"/>
              </w:rPr>
              <w:t>权重</w:t>
            </w:r>
            <w:r>
              <w:rPr>
                <w:rFonts w:hint="eastAsia" w:ascii="仿宋" w:hAnsi="仿宋" w:eastAsia="仿宋" w:cs="仿宋"/>
                <w:sz w:val="24"/>
                <w:szCs w:val="24"/>
                <w:highlight w:val="none"/>
                <w:lang w:val="en-US" w:eastAsia="zh-CN"/>
              </w:rPr>
              <w:t>40</w:t>
            </w:r>
            <w:r>
              <w:rPr>
                <w:rFonts w:hint="eastAsia" w:ascii="仿宋" w:hAnsi="仿宋" w:eastAsia="仿宋" w:cs="仿宋"/>
                <w:sz w:val="24"/>
                <w:szCs w:val="24"/>
                <w:highlight w:val="none"/>
              </w:rPr>
              <w:t>%</w:t>
            </w:r>
          </w:p>
          <w:p w14:paraId="2091CC8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满分</w:t>
            </w:r>
            <w:r>
              <w:rPr>
                <w:rFonts w:hint="eastAsia" w:ascii="仿宋" w:hAnsi="仿宋" w:eastAsia="仿宋" w:cs="仿宋"/>
                <w:sz w:val="24"/>
                <w:szCs w:val="24"/>
                <w:highlight w:val="none"/>
                <w:lang w:val="en-US" w:eastAsia="zh-CN"/>
              </w:rPr>
              <w:t>40</w:t>
            </w:r>
            <w:r>
              <w:rPr>
                <w:rFonts w:hint="eastAsia" w:ascii="仿宋" w:hAnsi="仿宋" w:eastAsia="仿宋" w:cs="仿宋"/>
                <w:sz w:val="24"/>
                <w:szCs w:val="24"/>
                <w:highlight w:val="none"/>
              </w:rPr>
              <w:t>分</w:t>
            </w:r>
          </w:p>
        </w:tc>
        <w:tc>
          <w:tcPr>
            <w:tcW w:w="3178" w:type="dxa"/>
            <w:vAlign w:val="center"/>
          </w:tcPr>
          <w:p w14:paraId="55FFF80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left"/>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sz w:val="24"/>
                <w:szCs w:val="24"/>
                <w:highlight w:val="none"/>
                <w:lang w:val="en-US" w:eastAsia="zh-CN"/>
              </w:rPr>
              <w:t>根据项目咨询、意见分歧解决、项目质量复核及检查、质量管理缺陷识别与整改等方面的政策与程序进行横向对比评审，评审按五个档进行</w:t>
            </w:r>
          </w:p>
        </w:tc>
        <w:tc>
          <w:tcPr>
            <w:tcW w:w="2478" w:type="dxa"/>
            <w:vAlign w:val="center"/>
          </w:tcPr>
          <w:p w14:paraId="252D9F1C">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1为不合格</w:t>
            </w:r>
          </w:p>
          <w:p w14:paraId="022EA898">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（得分为1/5*</w:t>
            </w:r>
            <w:r>
              <w:rPr>
                <w:rFonts w:hint="eastAsia" w:ascii="仿宋" w:hAnsi="仿宋" w:eastAsia="仿宋" w:cs="仿宋"/>
                <w:sz w:val="24"/>
                <w:szCs w:val="24"/>
                <w:highlight w:val="none"/>
                <w:lang w:val="en-US" w:eastAsia="zh-CN"/>
              </w:rPr>
              <w:t>40</w:t>
            </w:r>
            <w:r>
              <w:rPr>
                <w:rFonts w:hint="eastAsia" w:ascii="仿宋" w:hAnsi="仿宋" w:eastAsia="仿宋" w:cs="仿宋"/>
                <w:sz w:val="24"/>
                <w:szCs w:val="24"/>
                <w:highlight w:val="none"/>
              </w:rPr>
              <w:t>）；</w:t>
            </w:r>
          </w:p>
          <w:p w14:paraId="621BF206">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2为</w:t>
            </w:r>
            <w:r>
              <w:rPr>
                <w:rFonts w:hint="eastAsia" w:ascii="仿宋" w:hAnsi="仿宋" w:eastAsia="仿宋" w:cs="仿宋"/>
                <w:sz w:val="24"/>
                <w:szCs w:val="24"/>
                <w:highlight w:val="none"/>
                <w:lang w:val="en-US" w:eastAsia="zh-CN"/>
              </w:rPr>
              <w:t>合格</w:t>
            </w:r>
          </w:p>
          <w:p w14:paraId="3126CA8E">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（得分为2/5*</w:t>
            </w:r>
            <w:r>
              <w:rPr>
                <w:rFonts w:hint="eastAsia" w:ascii="仿宋" w:hAnsi="仿宋" w:eastAsia="仿宋" w:cs="仿宋"/>
                <w:sz w:val="24"/>
                <w:szCs w:val="24"/>
                <w:highlight w:val="none"/>
                <w:lang w:val="en-US" w:eastAsia="zh-CN"/>
              </w:rPr>
              <w:t>40</w:t>
            </w:r>
            <w:r>
              <w:rPr>
                <w:rFonts w:hint="eastAsia" w:ascii="仿宋" w:hAnsi="仿宋" w:eastAsia="仿宋" w:cs="仿宋"/>
                <w:sz w:val="24"/>
                <w:szCs w:val="24"/>
                <w:highlight w:val="none"/>
              </w:rPr>
              <w:t>）；</w:t>
            </w:r>
          </w:p>
          <w:p w14:paraId="1E9BDF4E">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3为</w:t>
            </w:r>
            <w:r>
              <w:rPr>
                <w:rFonts w:hint="eastAsia" w:ascii="仿宋" w:hAnsi="仿宋" w:eastAsia="仿宋" w:cs="仿宋"/>
                <w:sz w:val="24"/>
                <w:szCs w:val="24"/>
                <w:highlight w:val="none"/>
                <w:lang w:val="en-US" w:eastAsia="zh-CN"/>
              </w:rPr>
              <w:t>一般</w:t>
            </w:r>
          </w:p>
          <w:p w14:paraId="6D919676">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（得分为3/5*</w:t>
            </w:r>
            <w:r>
              <w:rPr>
                <w:rFonts w:hint="eastAsia" w:ascii="仿宋" w:hAnsi="仿宋" w:eastAsia="仿宋" w:cs="仿宋"/>
                <w:sz w:val="24"/>
                <w:szCs w:val="24"/>
                <w:highlight w:val="none"/>
                <w:lang w:val="en-US" w:eastAsia="zh-CN"/>
              </w:rPr>
              <w:t>40</w:t>
            </w:r>
            <w:r>
              <w:rPr>
                <w:rFonts w:hint="eastAsia" w:ascii="仿宋" w:hAnsi="仿宋" w:eastAsia="仿宋" w:cs="仿宋"/>
                <w:sz w:val="24"/>
                <w:szCs w:val="24"/>
                <w:highlight w:val="none"/>
              </w:rPr>
              <w:t>）；</w:t>
            </w:r>
          </w:p>
          <w:p w14:paraId="553A0308">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4为良好</w:t>
            </w:r>
          </w:p>
          <w:p w14:paraId="75CD2805">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（得分为4/5*</w:t>
            </w:r>
            <w:r>
              <w:rPr>
                <w:rFonts w:hint="eastAsia" w:ascii="仿宋" w:hAnsi="仿宋" w:eastAsia="仿宋" w:cs="仿宋"/>
                <w:sz w:val="24"/>
                <w:szCs w:val="24"/>
                <w:highlight w:val="none"/>
                <w:lang w:val="en-US" w:eastAsia="zh-CN"/>
              </w:rPr>
              <w:t>40</w:t>
            </w:r>
            <w:r>
              <w:rPr>
                <w:rFonts w:hint="eastAsia" w:ascii="仿宋" w:hAnsi="仿宋" w:eastAsia="仿宋" w:cs="仿宋"/>
                <w:sz w:val="24"/>
                <w:szCs w:val="24"/>
                <w:highlight w:val="none"/>
              </w:rPr>
              <w:t>）；</w:t>
            </w:r>
          </w:p>
          <w:p w14:paraId="61CFDE2B">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5为优秀</w:t>
            </w:r>
          </w:p>
          <w:p w14:paraId="5729125F">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sz w:val="24"/>
                <w:szCs w:val="24"/>
                <w:highlight w:val="none"/>
              </w:rPr>
              <w:t>（得分为5/5*</w:t>
            </w:r>
            <w:r>
              <w:rPr>
                <w:rFonts w:hint="eastAsia" w:ascii="仿宋" w:hAnsi="仿宋" w:eastAsia="仿宋" w:cs="仿宋"/>
                <w:sz w:val="24"/>
                <w:szCs w:val="24"/>
                <w:highlight w:val="none"/>
                <w:lang w:val="en-US" w:eastAsia="zh-CN"/>
              </w:rPr>
              <w:t>40</w:t>
            </w:r>
            <w:r>
              <w:rPr>
                <w:rFonts w:hint="eastAsia" w:ascii="仿宋" w:hAnsi="仿宋" w:eastAsia="仿宋" w:cs="仿宋"/>
                <w:sz w:val="24"/>
                <w:szCs w:val="24"/>
                <w:highlight w:val="none"/>
              </w:rPr>
              <w:t>）。</w:t>
            </w:r>
          </w:p>
        </w:tc>
      </w:tr>
      <w:tr w14:paraId="45303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9" w:hRule="atLeast"/>
        </w:trPr>
        <w:tc>
          <w:tcPr>
            <w:tcW w:w="722" w:type="dxa"/>
            <w:vAlign w:val="center"/>
          </w:tcPr>
          <w:p w14:paraId="639B3425">
            <w:pPr>
              <w:keepNext w:val="0"/>
              <w:keepLines w:val="0"/>
              <w:pageBreakBefore w:val="0"/>
              <w:widowControl w:val="0"/>
              <w:numPr>
                <w:ilvl w:val="0"/>
                <w:numId w:val="0"/>
              </w:numPr>
              <w:kinsoku/>
              <w:wordWrap/>
              <w:overflowPunct/>
              <w:topLinePunct w:val="0"/>
              <w:autoSpaceDE/>
              <w:autoSpaceDN/>
              <w:bidi w:val="0"/>
              <w:adjustRightInd w:val="0"/>
              <w:snapToGrid w:val="0"/>
              <w:spacing w:line="340" w:lineRule="exact"/>
              <w:ind w:left="0" w:leftChars="0" w:firstLine="0" w:firstLineChars="0"/>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sz w:val="24"/>
                <w:szCs w:val="24"/>
                <w:lang w:val="en-US" w:eastAsia="zh-CN"/>
              </w:rPr>
              <w:t>4</w:t>
            </w:r>
          </w:p>
        </w:tc>
        <w:tc>
          <w:tcPr>
            <w:tcW w:w="1245" w:type="dxa"/>
            <w:vAlign w:val="center"/>
          </w:tcPr>
          <w:p w14:paraId="054674D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sz w:val="24"/>
                <w:szCs w:val="24"/>
                <w:highlight w:val="none"/>
                <w:lang w:val="en-US" w:eastAsia="zh-CN"/>
              </w:rPr>
              <w:t>人力资源配置</w:t>
            </w:r>
          </w:p>
        </w:tc>
        <w:tc>
          <w:tcPr>
            <w:tcW w:w="1437" w:type="dxa"/>
            <w:vAlign w:val="center"/>
          </w:tcPr>
          <w:p w14:paraId="47FD5F5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center"/>
              <w:textAlignment w:val="auto"/>
              <w:rPr>
                <w:rFonts w:ascii="仿宋" w:hAnsi="仿宋" w:eastAsia="仿宋" w:cs="仿宋"/>
                <w:sz w:val="24"/>
                <w:szCs w:val="24"/>
                <w:highlight w:val="none"/>
              </w:rPr>
            </w:pPr>
            <w:r>
              <w:rPr>
                <w:rFonts w:hint="eastAsia" w:ascii="仿宋" w:hAnsi="仿宋" w:eastAsia="仿宋" w:cs="仿宋"/>
                <w:sz w:val="24"/>
                <w:szCs w:val="24"/>
                <w:highlight w:val="none"/>
              </w:rPr>
              <w:t>权重</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w:t>
            </w:r>
          </w:p>
          <w:p w14:paraId="0DED10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满分</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分</w:t>
            </w:r>
          </w:p>
        </w:tc>
        <w:tc>
          <w:tcPr>
            <w:tcW w:w="3178" w:type="dxa"/>
            <w:vAlign w:val="center"/>
          </w:tcPr>
          <w:p w14:paraId="0690879D">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根据人员配备的合理性、人员资格证书</w:t>
            </w:r>
            <w:r>
              <w:rPr>
                <w:rFonts w:hint="eastAsia" w:ascii="仿宋" w:hAnsi="仿宋" w:eastAsia="仿宋" w:cs="仿宋"/>
                <w:sz w:val="24"/>
                <w:szCs w:val="24"/>
                <w:highlight w:val="none"/>
                <w:lang w:eastAsia="zh-CN"/>
              </w:rPr>
              <w:t>的符合性</w:t>
            </w:r>
            <w:r>
              <w:rPr>
                <w:rFonts w:hint="eastAsia" w:ascii="仿宋" w:hAnsi="仿宋" w:eastAsia="仿宋" w:cs="仿宋"/>
                <w:sz w:val="24"/>
                <w:szCs w:val="24"/>
                <w:highlight w:val="none"/>
              </w:rPr>
              <w:t>等方面进行横向对比评审，评审按五个档进行</w:t>
            </w:r>
          </w:p>
        </w:tc>
        <w:tc>
          <w:tcPr>
            <w:tcW w:w="2478" w:type="dxa"/>
            <w:vAlign w:val="center"/>
          </w:tcPr>
          <w:p w14:paraId="069A1A19">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1为不合格</w:t>
            </w:r>
          </w:p>
          <w:p w14:paraId="47423F15">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（得分为1/5*</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w:t>
            </w:r>
          </w:p>
          <w:p w14:paraId="4D80B79D">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2为</w:t>
            </w:r>
            <w:r>
              <w:rPr>
                <w:rFonts w:hint="eastAsia" w:ascii="仿宋" w:hAnsi="仿宋" w:eastAsia="仿宋" w:cs="仿宋"/>
                <w:sz w:val="24"/>
                <w:szCs w:val="24"/>
                <w:highlight w:val="none"/>
                <w:lang w:val="en-US" w:eastAsia="zh-CN"/>
              </w:rPr>
              <w:t>合格</w:t>
            </w:r>
          </w:p>
          <w:p w14:paraId="351DE2AA">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（得分为2/5*</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w:t>
            </w:r>
          </w:p>
          <w:p w14:paraId="09E9C754">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3为</w:t>
            </w:r>
            <w:r>
              <w:rPr>
                <w:rFonts w:hint="eastAsia" w:ascii="仿宋" w:hAnsi="仿宋" w:eastAsia="仿宋" w:cs="仿宋"/>
                <w:sz w:val="24"/>
                <w:szCs w:val="24"/>
                <w:highlight w:val="none"/>
                <w:lang w:val="en-US" w:eastAsia="zh-CN"/>
              </w:rPr>
              <w:t>一般</w:t>
            </w:r>
          </w:p>
          <w:p w14:paraId="09ADFE9B">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（得分为3/5*</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w:t>
            </w:r>
          </w:p>
          <w:p w14:paraId="668FB70C">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4为良好</w:t>
            </w:r>
          </w:p>
          <w:p w14:paraId="2DAE544E">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（得分为4/5*</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w:t>
            </w:r>
          </w:p>
          <w:p w14:paraId="4CC76A4D">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5为优秀</w:t>
            </w:r>
          </w:p>
          <w:p w14:paraId="0F4B549C">
            <w:pPr>
              <w:keepNext w:val="0"/>
              <w:keepLines w:val="0"/>
              <w:pageBreakBefore w:val="0"/>
              <w:widowControl w:val="0"/>
              <w:numPr>
                <w:ilvl w:val="0"/>
                <w:numId w:val="0"/>
              </w:numPr>
              <w:kinsoku/>
              <w:wordWrap/>
              <w:overflowPunct/>
              <w:topLinePunct w:val="0"/>
              <w:autoSpaceDE/>
              <w:autoSpaceDN/>
              <w:bidi w:val="0"/>
              <w:adjustRightInd w:val="0"/>
              <w:snapToGrid w:val="0"/>
              <w:spacing w:line="280" w:lineRule="exact"/>
              <w:ind w:left="0" w:leftChars="0" w:firstLine="0" w:firstLineChar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sz w:val="24"/>
                <w:szCs w:val="24"/>
                <w:highlight w:val="none"/>
              </w:rPr>
              <w:t>（得分为5/5*</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w:t>
            </w:r>
          </w:p>
        </w:tc>
      </w:tr>
      <w:tr w14:paraId="5F1EE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8" w:hRule="atLeast"/>
        </w:trPr>
        <w:tc>
          <w:tcPr>
            <w:tcW w:w="722" w:type="dxa"/>
            <w:vAlign w:val="center"/>
          </w:tcPr>
          <w:p w14:paraId="78A48616">
            <w:pPr>
              <w:keepNext w:val="0"/>
              <w:keepLines w:val="0"/>
              <w:pageBreakBefore w:val="0"/>
              <w:widowControl w:val="0"/>
              <w:numPr>
                <w:ilvl w:val="0"/>
                <w:numId w:val="0"/>
              </w:numPr>
              <w:kinsoku/>
              <w:wordWrap/>
              <w:overflowPunct/>
              <w:topLinePunct w:val="0"/>
              <w:autoSpaceDE/>
              <w:autoSpaceDN/>
              <w:bidi w:val="0"/>
              <w:adjustRightInd w:val="0"/>
              <w:snapToGrid w:val="0"/>
              <w:spacing w:line="340" w:lineRule="exact"/>
              <w:ind w:left="0" w:leftChars="0" w:firstLine="0" w:firstLineChars="0"/>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sz w:val="24"/>
                <w:szCs w:val="24"/>
                <w:lang w:val="en-US" w:eastAsia="zh-CN"/>
              </w:rPr>
              <w:t>5</w:t>
            </w:r>
          </w:p>
        </w:tc>
        <w:tc>
          <w:tcPr>
            <w:tcW w:w="1245" w:type="dxa"/>
            <w:vAlign w:val="center"/>
          </w:tcPr>
          <w:p w14:paraId="33C7885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sz w:val="24"/>
                <w:szCs w:val="24"/>
                <w:highlight w:val="none"/>
                <w:lang w:val="en-US" w:eastAsia="zh-CN"/>
              </w:rPr>
              <w:t>信息安全及风险承担能力</w:t>
            </w:r>
          </w:p>
        </w:tc>
        <w:tc>
          <w:tcPr>
            <w:tcW w:w="1437" w:type="dxa"/>
            <w:vAlign w:val="center"/>
          </w:tcPr>
          <w:p w14:paraId="49DFA43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jc w:val="center"/>
              <w:textAlignment w:val="auto"/>
              <w:rPr>
                <w:rFonts w:ascii="仿宋" w:hAnsi="仿宋" w:eastAsia="仿宋" w:cs="仿宋"/>
                <w:sz w:val="24"/>
                <w:szCs w:val="24"/>
                <w:highlight w:val="none"/>
              </w:rPr>
            </w:pPr>
            <w:r>
              <w:rPr>
                <w:rFonts w:hint="eastAsia" w:ascii="仿宋" w:hAnsi="仿宋" w:eastAsia="仿宋" w:cs="仿宋"/>
                <w:sz w:val="24"/>
                <w:szCs w:val="24"/>
                <w:highlight w:val="none"/>
              </w:rPr>
              <w:t>权重</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w:t>
            </w:r>
          </w:p>
          <w:p w14:paraId="6C4B478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center"/>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满分</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分</w:t>
            </w:r>
          </w:p>
        </w:tc>
        <w:tc>
          <w:tcPr>
            <w:tcW w:w="3178" w:type="dxa"/>
            <w:vAlign w:val="center"/>
          </w:tcPr>
          <w:p w14:paraId="2C248EB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exact"/>
              <w:ind w:left="0" w:leftChars="0" w:firstLine="0" w:firstLineChars="0"/>
              <w:jc w:val="left"/>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sz w:val="24"/>
                <w:szCs w:val="24"/>
                <w:highlight w:val="none"/>
                <w:lang w:val="en-US" w:eastAsia="zh-CN"/>
              </w:rPr>
              <w:t>根据服务单位提供相关信息安全管理情况，及职业保险购买或职业风险金证明等情况，进行横向对比评审，评审按五个档进行</w:t>
            </w:r>
          </w:p>
        </w:tc>
        <w:tc>
          <w:tcPr>
            <w:tcW w:w="2478" w:type="dxa"/>
            <w:vAlign w:val="center"/>
          </w:tcPr>
          <w:p w14:paraId="66A0EB7D">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1为不合格</w:t>
            </w:r>
          </w:p>
          <w:p w14:paraId="104081A8">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（得分为1/5*</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w:t>
            </w:r>
          </w:p>
          <w:p w14:paraId="69A0A2E0">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2为</w:t>
            </w:r>
            <w:r>
              <w:rPr>
                <w:rFonts w:hint="eastAsia" w:ascii="仿宋" w:hAnsi="仿宋" w:eastAsia="仿宋" w:cs="仿宋"/>
                <w:sz w:val="24"/>
                <w:szCs w:val="24"/>
                <w:highlight w:val="none"/>
                <w:lang w:val="en-US" w:eastAsia="zh-CN"/>
              </w:rPr>
              <w:t>合格</w:t>
            </w:r>
          </w:p>
          <w:p w14:paraId="2F81D9E1">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（得分为2/5*</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w:t>
            </w:r>
          </w:p>
          <w:p w14:paraId="6F2F43AC">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3为</w:t>
            </w:r>
            <w:r>
              <w:rPr>
                <w:rFonts w:hint="eastAsia" w:ascii="仿宋" w:hAnsi="仿宋" w:eastAsia="仿宋" w:cs="仿宋"/>
                <w:sz w:val="24"/>
                <w:szCs w:val="24"/>
                <w:highlight w:val="none"/>
                <w:lang w:val="en-US" w:eastAsia="zh-CN"/>
              </w:rPr>
              <w:t>一般</w:t>
            </w:r>
          </w:p>
          <w:p w14:paraId="360F791D">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（得分为3/5*</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w:t>
            </w:r>
          </w:p>
          <w:p w14:paraId="5DB87EF4">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4为良好</w:t>
            </w:r>
          </w:p>
          <w:p w14:paraId="1EB49393">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（得分为4/5*</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w:t>
            </w:r>
          </w:p>
          <w:p w14:paraId="182D05FB">
            <w:pPr>
              <w:keepNext w:val="0"/>
              <w:keepLines w:val="0"/>
              <w:pageBreakBefore w:val="0"/>
              <w:widowControl w:val="0"/>
              <w:kinsoku/>
              <w:wordWrap/>
              <w:overflowPunct/>
              <w:topLinePunct w:val="0"/>
              <w:autoSpaceDE/>
              <w:autoSpaceDN/>
              <w:bidi w:val="0"/>
              <w:adjustRightInd w:val="0"/>
              <w:snapToGrid w:val="0"/>
              <w:spacing w:line="280" w:lineRule="exact"/>
              <w:jc w:val="left"/>
              <w:textAlignment w:val="auto"/>
              <w:rPr>
                <w:rFonts w:ascii="仿宋" w:hAnsi="仿宋" w:eastAsia="仿宋" w:cs="仿宋"/>
                <w:sz w:val="24"/>
                <w:szCs w:val="24"/>
                <w:highlight w:val="none"/>
              </w:rPr>
            </w:pPr>
            <w:r>
              <w:rPr>
                <w:rFonts w:hint="eastAsia" w:ascii="仿宋" w:hAnsi="仿宋" w:eastAsia="仿宋" w:cs="仿宋"/>
                <w:sz w:val="24"/>
                <w:szCs w:val="24"/>
                <w:highlight w:val="none"/>
              </w:rPr>
              <w:t>5为优秀</w:t>
            </w:r>
          </w:p>
          <w:p w14:paraId="03B1219A">
            <w:pPr>
              <w:keepNext w:val="0"/>
              <w:keepLines w:val="0"/>
              <w:pageBreakBefore w:val="0"/>
              <w:widowControl w:val="0"/>
              <w:numPr>
                <w:ilvl w:val="0"/>
                <w:numId w:val="0"/>
              </w:numPr>
              <w:kinsoku/>
              <w:wordWrap/>
              <w:overflowPunct/>
              <w:topLinePunct w:val="0"/>
              <w:autoSpaceDE/>
              <w:autoSpaceDN/>
              <w:bidi w:val="0"/>
              <w:adjustRightInd w:val="0"/>
              <w:snapToGrid w:val="0"/>
              <w:spacing w:line="280" w:lineRule="exact"/>
              <w:ind w:left="0" w:leftChars="0" w:firstLine="0" w:firstLineChar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sz w:val="24"/>
                <w:szCs w:val="24"/>
                <w:highlight w:val="none"/>
              </w:rPr>
              <w:t>（得分为5/5*</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w:t>
            </w:r>
          </w:p>
        </w:tc>
      </w:tr>
    </w:tbl>
    <w:p w14:paraId="563A4265">
      <w:pPr>
        <w:keepNext w:val="0"/>
        <w:keepLines w:val="0"/>
        <w:pageBreakBefore w:val="0"/>
        <w:widowControl w:val="0"/>
        <w:kinsoku/>
        <w:wordWrap/>
        <w:overflowPunct/>
        <w:topLinePunct w:val="0"/>
        <w:autoSpaceDE/>
        <w:autoSpaceDN/>
        <w:bidi w:val="0"/>
        <w:adjustRightInd w:val="0"/>
        <w:snapToGrid w:val="0"/>
        <w:spacing w:before="79" w:beforeLines="25" w:afterLines="0" w:line="540" w:lineRule="exact"/>
        <w:ind w:firstLine="600" w:firstLineChars="200"/>
        <w:textAlignment w:val="auto"/>
        <w:rPr>
          <w:rFonts w:eastAsia="黑体"/>
          <w:bCs/>
          <w:color w:val="auto"/>
          <w:sz w:val="30"/>
          <w:szCs w:val="30"/>
          <w:shd w:val="clear" w:color="auto" w:fill="FFFFFF"/>
        </w:rPr>
      </w:pPr>
      <w:r>
        <w:rPr>
          <w:rFonts w:hint="eastAsia" w:eastAsia="黑体"/>
          <w:bCs/>
          <w:color w:val="auto"/>
          <w:sz w:val="30"/>
          <w:szCs w:val="30"/>
          <w:shd w:val="clear" w:color="auto" w:fill="FFFFFF"/>
          <w:lang w:val="en-US" w:eastAsia="zh-CN"/>
        </w:rPr>
        <w:t>九</w:t>
      </w:r>
      <w:r>
        <w:rPr>
          <w:rFonts w:ascii="Times New Roman" w:hAnsi="Times New Roman" w:eastAsia="黑体"/>
          <w:bCs/>
          <w:color w:val="auto"/>
          <w:sz w:val="30"/>
          <w:szCs w:val="30"/>
          <w:shd w:val="clear" w:color="auto" w:fill="FFFFFF"/>
        </w:rPr>
        <w:t>、中选候选人推荐原则</w:t>
      </w:r>
    </w:p>
    <w:p w14:paraId="7D70BC88">
      <w:pPr>
        <w:keepNext w:val="0"/>
        <w:keepLines w:val="0"/>
        <w:pageBreakBefore w:val="0"/>
        <w:widowControl w:val="0"/>
        <w:kinsoku/>
        <w:wordWrap/>
        <w:overflowPunct/>
        <w:topLinePunct w:val="0"/>
        <w:autoSpaceDE/>
        <w:autoSpaceDN/>
        <w:bidi w:val="0"/>
        <w:spacing w:beforeLines="0" w:afterLines="0" w:line="540" w:lineRule="exact"/>
        <w:ind w:firstLine="600" w:firstLineChars="200"/>
        <w:textAlignment w:val="auto"/>
        <w:rPr>
          <w:rFonts w:ascii="Times New Roman" w:hAnsi="Times New Roman" w:eastAsia="仿宋"/>
          <w:color w:val="auto"/>
          <w:sz w:val="30"/>
          <w:szCs w:val="30"/>
        </w:rPr>
      </w:pPr>
      <w:r>
        <w:rPr>
          <w:rFonts w:ascii="Times New Roman" w:hAnsi="Times New Roman" w:eastAsia="仿宋"/>
          <w:color w:val="auto"/>
          <w:sz w:val="30"/>
          <w:szCs w:val="30"/>
        </w:rPr>
        <w:t>我公司</w:t>
      </w:r>
      <w:r>
        <w:rPr>
          <w:rFonts w:hint="eastAsia" w:ascii="Times New Roman" w:hAnsi="Times New Roman" w:eastAsia="仿宋"/>
          <w:color w:val="auto"/>
          <w:sz w:val="30"/>
          <w:szCs w:val="30"/>
          <w:lang w:eastAsia="zh-CN"/>
        </w:rPr>
        <w:t>招采人员</w:t>
      </w:r>
      <w:r>
        <w:rPr>
          <w:rFonts w:ascii="Times New Roman" w:hAnsi="Times New Roman" w:eastAsia="仿宋"/>
          <w:color w:val="auto"/>
          <w:sz w:val="30"/>
          <w:szCs w:val="30"/>
        </w:rPr>
        <w:t>按照</w:t>
      </w:r>
      <w:r>
        <w:rPr>
          <w:rFonts w:hint="eastAsia" w:eastAsia="仿宋"/>
          <w:color w:val="auto"/>
          <w:sz w:val="30"/>
          <w:szCs w:val="30"/>
        </w:rPr>
        <w:t>比选公告</w:t>
      </w:r>
      <w:r>
        <w:rPr>
          <w:rFonts w:hint="eastAsia" w:eastAsia="仿宋"/>
          <w:color w:val="auto"/>
          <w:sz w:val="30"/>
          <w:szCs w:val="30"/>
          <w:lang w:eastAsia="zh-CN"/>
        </w:rPr>
        <w:t>、文件</w:t>
      </w:r>
      <w:r>
        <w:rPr>
          <w:rFonts w:ascii="Times New Roman" w:hAnsi="Times New Roman" w:eastAsia="仿宋"/>
          <w:color w:val="auto"/>
          <w:sz w:val="30"/>
          <w:szCs w:val="30"/>
        </w:rPr>
        <w:t>的要求，拟定综合评分表</w:t>
      </w:r>
      <w:r>
        <w:rPr>
          <w:rFonts w:hint="eastAsia" w:ascii="Times New Roman" w:hAnsi="Times New Roman" w:eastAsia="仿宋"/>
          <w:color w:val="auto"/>
          <w:sz w:val="30"/>
          <w:szCs w:val="30"/>
          <w:lang w:eastAsia="zh-CN"/>
        </w:rPr>
        <w:t>，最终出具评审报告</w:t>
      </w:r>
      <w:r>
        <w:rPr>
          <w:rFonts w:ascii="Times New Roman" w:hAnsi="Times New Roman" w:eastAsia="仿宋"/>
          <w:color w:val="auto"/>
          <w:sz w:val="30"/>
          <w:szCs w:val="30"/>
        </w:rPr>
        <w:t>。评审表标明</w:t>
      </w:r>
      <w:r>
        <w:rPr>
          <w:rFonts w:hint="eastAsia" w:eastAsia="仿宋"/>
          <w:color w:val="auto"/>
          <w:sz w:val="30"/>
          <w:szCs w:val="30"/>
        </w:rPr>
        <w:t>报价</w:t>
      </w:r>
      <w:r>
        <w:rPr>
          <w:rFonts w:ascii="Times New Roman" w:hAnsi="Times New Roman" w:eastAsia="仿宋"/>
          <w:color w:val="auto"/>
          <w:sz w:val="30"/>
          <w:szCs w:val="30"/>
        </w:rPr>
        <w:t>单位的报价、对评审中各分项得分的统计和说明。经评审综合总得分最高者为第一中选候选人，总得分第二高者为第二中选候选人，总得分第三高者为</w:t>
      </w:r>
      <w:r>
        <w:rPr>
          <w:rFonts w:ascii="Times New Roman" w:hAnsi="Times New Roman" w:eastAsia="仿宋"/>
          <w:color w:val="auto"/>
          <w:sz w:val="30"/>
          <w:szCs w:val="30"/>
          <w:highlight w:val="none"/>
        </w:rPr>
        <w:t>第三中</w:t>
      </w:r>
      <w:r>
        <w:rPr>
          <w:rFonts w:ascii="Times New Roman" w:hAnsi="Times New Roman" w:eastAsia="仿宋"/>
          <w:color w:val="auto"/>
          <w:sz w:val="30"/>
          <w:szCs w:val="30"/>
        </w:rPr>
        <w:t>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为中选人。</w:t>
      </w:r>
    </w:p>
    <w:p w14:paraId="534F27C0">
      <w:pPr>
        <w:keepNext w:val="0"/>
        <w:keepLines w:val="0"/>
        <w:pageBreakBefore w:val="0"/>
        <w:widowControl w:val="0"/>
        <w:kinsoku/>
        <w:wordWrap/>
        <w:overflowPunct/>
        <w:topLinePunct w:val="0"/>
        <w:autoSpaceDE/>
        <w:autoSpaceDN/>
        <w:bidi w:val="0"/>
        <w:adjustRightInd w:val="0"/>
        <w:snapToGrid w:val="0"/>
        <w:spacing w:beforeLines="0" w:afterLines="0" w:line="540" w:lineRule="exact"/>
        <w:ind w:left="0" w:leftChars="0" w:firstLine="600" w:firstLineChars="200"/>
        <w:jc w:val="both"/>
        <w:textAlignment w:val="auto"/>
        <w:rPr>
          <w:rFonts w:hint="default" w:ascii="Times New Roman" w:hAnsi="Times New Roman" w:eastAsia="仿宋"/>
          <w:color w:val="auto"/>
          <w:sz w:val="30"/>
          <w:szCs w:val="30"/>
          <w:lang w:val="en-US" w:eastAsia="zh-CN"/>
        </w:rPr>
      </w:pPr>
      <w:r>
        <w:rPr>
          <w:rFonts w:hint="eastAsia" w:ascii="Times New Roman" w:hAnsi="Times New Roman" w:eastAsia="仿宋"/>
          <w:color w:val="auto"/>
          <w:sz w:val="30"/>
          <w:szCs w:val="30"/>
          <w:lang w:val="en-US" w:eastAsia="zh-CN"/>
        </w:rPr>
        <w:t>附件：审计业务约定书</w:t>
      </w:r>
    </w:p>
    <w:p w14:paraId="7D772D1E">
      <w:pPr>
        <w:keepNext w:val="0"/>
        <w:keepLines w:val="0"/>
        <w:pageBreakBefore w:val="0"/>
        <w:widowControl w:val="0"/>
        <w:kinsoku/>
        <w:wordWrap/>
        <w:overflowPunct/>
        <w:topLinePunct w:val="0"/>
        <w:autoSpaceDE/>
        <w:autoSpaceDN/>
        <w:bidi w:val="0"/>
        <w:adjustRightInd w:val="0"/>
        <w:snapToGrid w:val="0"/>
        <w:spacing w:beforeLines="0" w:afterLines="0" w:line="540" w:lineRule="exact"/>
        <w:textAlignment w:val="auto"/>
        <w:rPr>
          <w:rFonts w:hint="eastAsia" w:ascii="Times New Roman" w:hAnsi="Times New Roman" w:eastAsia="仿宋"/>
          <w:color w:val="auto"/>
          <w:sz w:val="30"/>
          <w:szCs w:val="30"/>
          <w:lang w:eastAsia="zh-CN"/>
        </w:rPr>
      </w:pPr>
    </w:p>
    <w:p w14:paraId="485ADE5F">
      <w:pPr>
        <w:keepNext w:val="0"/>
        <w:keepLines w:val="0"/>
        <w:pageBreakBefore w:val="0"/>
        <w:widowControl w:val="0"/>
        <w:kinsoku/>
        <w:wordWrap/>
        <w:overflowPunct/>
        <w:topLinePunct w:val="0"/>
        <w:autoSpaceDE/>
        <w:autoSpaceDN/>
        <w:bidi w:val="0"/>
        <w:adjustRightInd w:val="0"/>
        <w:snapToGrid w:val="0"/>
        <w:spacing w:beforeLines="0" w:afterLines="0" w:line="540" w:lineRule="exact"/>
        <w:textAlignment w:val="auto"/>
        <w:rPr>
          <w:rFonts w:hint="eastAsia" w:ascii="Times New Roman" w:hAnsi="Times New Roman" w:eastAsia="仿宋"/>
          <w:color w:val="auto"/>
          <w:sz w:val="30"/>
          <w:szCs w:val="30"/>
          <w:lang w:eastAsia="zh-CN"/>
        </w:rPr>
      </w:pPr>
    </w:p>
    <w:p w14:paraId="1074D943">
      <w:pPr>
        <w:keepNext w:val="0"/>
        <w:keepLines w:val="0"/>
        <w:pageBreakBefore w:val="0"/>
        <w:widowControl w:val="0"/>
        <w:kinsoku/>
        <w:wordWrap/>
        <w:overflowPunct/>
        <w:topLinePunct w:val="0"/>
        <w:autoSpaceDE/>
        <w:autoSpaceDN/>
        <w:bidi w:val="0"/>
        <w:adjustRightInd w:val="0"/>
        <w:snapToGrid w:val="0"/>
        <w:spacing w:beforeLines="0" w:afterLines="0" w:line="540" w:lineRule="exact"/>
        <w:textAlignment w:val="auto"/>
        <w:rPr>
          <w:rFonts w:hint="eastAsia" w:ascii="Times New Roman" w:hAnsi="Times New Roman" w:eastAsia="仿宋"/>
          <w:color w:val="auto"/>
          <w:sz w:val="30"/>
          <w:szCs w:val="30"/>
          <w:lang w:eastAsia="zh-CN"/>
        </w:rPr>
      </w:pPr>
    </w:p>
    <w:p w14:paraId="03D85172">
      <w:pPr>
        <w:keepNext w:val="0"/>
        <w:keepLines w:val="0"/>
        <w:pageBreakBefore w:val="0"/>
        <w:widowControl w:val="0"/>
        <w:kinsoku/>
        <w:wordWrap/>
        <w:overflowPunct/>
        <w:topLinePunct w:val="0"/>
        <w:autoSpaceDE/>
        <w:autoSpaceDN/>
        <w:bidi w:val="0"/>
        <w:adjustRightInd w:val="0"/>
        <w:snapToGrid w:val="0"/>
        <w:spacing w:beforeLines="0" w:afterLines="0" w:line="540" w:lineRule="exact"/>
        <w:ind w:left="0" w:leftChars="0" w:firstLine="3354" w:firstLineChars="1118"/>
        <w:textAlignment w:val="auto"/>
        <w:rPr>
          <w:rFonts w:ascii="Times New Roman" w:hAnsi="Times New Roman" w:eastAsia="仿宋"/>
          <w:color w:val="auto"/>
          <w:sz w:val="30"/>
          <w:szCs w:val="30"/>
        </w:rPr>
      </w:pPr>
      <w:r>
        <w:rPr>
          <w:rFonts w:hint="eastAsia" w:ascii="Times New Roman" w:hAnsi="Times New Roman" w:eastAsia="仿宋"/>
          <w:color w:val="auto"/>
          <w:sz w:val="30"/>
          <w:szCs w:val="30"/>
          <w:lang w:val="en-US" w:eastAsia="zh-CN"/>
        </w:rPr>
        <w:t>广</w:t>
      </w:r>
      <w:r>
        <w:rPr>
          <w:rFonts w:hint="eastAsia" w:ascii="Times New Roman" w:hAnsi="Times New Roman" w:eastAsia="仿宋"/>
          <w:color w:val="auto"/>
          <w:sz w:val="30"/>
          <w:szCs w:val="30"/>
        </w:rPr>
        <w:t>西</w:t>
      </w:r>
      <w:r>
        <w:rPr>
          <w:rFonts w:hint="eastAsia" w:ascii="Times New Roman" w:hAnsi="Times New Roman" w:eastAsia="仿宋"/>
          <w:color w:val="auto"/>
          <w:sz w:val="30"/>
          <w:szCs w:val="30"/>
          <w:lang w:eastAsia="zh-CN"/>
        </w:rPr>
        <w:t>中马钦州产业园区开发</w:t>
      </w:r>
      <w:r>
        <w:rPr>
          <w:rFonts w:hint="eastAsia" w:ascii="Times New Roman" w:hAnsi="Times New Roman" w:eastAsia="仿宋"/>
          <w:color w:val="auto"/>
          <w:sz w:val="30"/>
          <w:szCs w:val="30"/>
        </w:rPr>
        <w:t>有限公司</w:t>
      </w:r>
    </w:p>
    <w:p w14:paraId="45737089">
      <w:pPr>
        <w:keepNext w:val="0"/>
        <w:keepLines w:val="0"/>
        <w:pageBreakBefore w:val="0"/>
        <w:widowControl w:val="0"/>
        <w:kinsoku/>
        <w:wordWrap/>
        <w:overflowPunct/>
        <w:topLinePunct w:val="0"/>
        <w:autoSpaceDE/>
        <w:autoSpaceDN/>
        <w:bidi w:val="0"/>
        <w:adjustRightInd w:val="0"/>
        <w:snapToGrid w:val="0"/>
        <w:spacing w:beforeLines="0" w:afterLines="0" w:line="540" w:lineRule="exact"/>
        <w:ind w:left="0" w:leftChars="0" w:firstLine="4830" w:firstLineChars="1610"/>
        <w:textAlignment w:val="auto"/>
        <w:rPr>
          <w:rFonts w:hint="eastAsia" w:ascii="Times New Roman" w:hAnsi="仿宋" w:eastAsia="仿宋"/>
          <w:color w:val="auto"/>
          <w:sz w:val="30"/>
          <w:szCs w:val="30"/>
        </w:rPr>
      </w:pPr>
      <w:r>
        <w:rPr>
          <w:rFonts w:ascii="Times New Roman" w:hAnsi="Times New Roman" w:eastAsia="仿宋"/>
          <w:color w:val="auto"/>
          <w:sz w:val="30"/>
          <w:szCs w:val="30"/>
        </w:rPr>
        <w:t>20</w:t>
      </w:r>
      <w:r>
        <w:rPr>
          <w:rFonts w:hint="eastAsia" w:ascii="Times New Roman" w:hAnsi="Times New Roman" w:eastAsia="仿宋"/>
          <w:color w:val="auto"/>
          <w:sz w:val="30"/>
          <w:szCs w:val="30"/>
          <w:lang w:val="en-US" w:eastAsia="zh-CN"/>
        </w:rPr>
        <w:t>25</w:t>
      </w:r>
      <w:r>
        <w:rPr>
          <w:rFonts w:ascii="Times New Roman" w:hAnsi="仿宋" w:eastAsia="仿宋"/>
          <w:color w:val="auto"/>
          <w:sz w:val="30"/>
          <w:szCs w:val="30"/>
        </w:rPr>
        <w:t>年</w:t>
      </w:r>
      <w:r>
        <w:rPr>
          <w:rFonts w:hint="eastAsia" w:ascii="Times New Roman" w:hAnsi="仿宋" w:eastAsia="仿宋"/>
          <w:color w:val="auto"/>
          <w:sz w:val="30"/>
          <w:szCs w:val="30"/>
          <w:lang w:val="en-US" w:eastAsia="zh-CN"/>
        </w:rPr>
        <w:t>7</w:t>
      </w:r>
      <w:r>
        <w:rPr>
          <w:rFonts w:ascii="Times New Roman" w:hAnsi="仿宋" w:eastAsia="仿宋"/>
          <w:color w:val="auto"/>
          <w:sz w:val="30"/>
          <w:szCs w:val="30"/>
        </w:rPr>
        <w:t>月</w:t>
      </w:r>
      <w:r>
        <w:rPr>
          <w:rFonts w:hint="eastAsia" w:ascii="Times New Roman" w:hAnsi="仿宋" w:eastAsia="仿宋"/>
          <w:color w:val="auto"/>
          <w:sz w:val="30"/>
          <w:szCs w:val="30"/>
          <w:lang w:val="en-US" w:eastAsia="zh-CN"/>
        </w:rPr>
        <w:t>4</w:t>
      </w:r>
      <w:r>
        <w:rPr>
          <w:rFonts w:ascii="Times New Roman" w:hAnsi="仿宋" w:eastAsia="仿宋"/>
          <w:color w:val="auto"/>
          <w:sz w:val="30"/>
          <w:szCs w:val="30"/>
        </w:rPr>
        <w:t>日</w:t>
      </w:r>
      <w:r>
        <w:rPr>
          <w:rFonts w:hint="eastAsia" w:ascii="Times New Roman" w:hAnsi="仿宋" w:eastAsia="仿宋"/>
          <w:color w:val="auto"/>
          <w:sz w:val="30"/>
          <w:szCs w:val="30"/>
        </w:rPr>
        <w:t xml:space="preserve"> </w:t>
      </w:r>
    </w:p>
    <w:p w14:paraId="025053DE">
      <w:pPr>
        <w:keepNext w:val="0"/>
        <w:keepLines w:val="0"/>
        <w:pageBreakBefore w:val="0"/>
        <w:widowControl w:val="0"/>
        <w:kinsoku/>
        <w:wordWrap/>
        <w:overflowPunct/>
        <w:topLinePunct w:val="0"/>
        <w:bidi w:val="0"/>
        <w:adjustRightInd w:val="0"/>
        <w:snapToGrid w:val="0"/>
        <w:spacing w:line="540" w:lineRule="exact"/>
        <w:ind w:firstLine="0" w:firstLineChars="0"/>
        <w:textAlignment w:val="auto"/>
        <w:rPr>
          <w:rFonts w:hint="eastAsia" w:ascii="Times New Roman" w:hAnsi="仿宋" w:eastAsia="仿宋"/>
          <w:color w:val="auto"/>
          <w:sz w:val="21"/>
          <w:szCs w:val="21"/>
        </w:rPr>
      </w:pPr>
    </w:p>
    <w:p w14:paraId="4BB4CD56">
      <w:pPr>
        <w:keepNext w:val="0"/>
        <w:keepLines w:val="0"/>
        <w:pageBreakBefore w:val="0"/>
        <w:widowControl w:val="0"/>
        <w:kinsoku/>
        <w:wordWrap/>
        <w:overflowPunct/>
        <w:topLinePunct w:val="0"/>
        <w:autoSpaceDE w:val="0"/>
        <w:autoSpaceDN w:val="0"/>
        <w:bidi w:val="0"/>
        <w:adjustRightInd w:val="0"/>
        <w:snapToGrid w:val="0"/>
        <w:spacing w:line="540" w:lineRule="exact"/>
        <w:ind w:firstLine="0" w:firstLineChars="0"/>
        <w:jc w:val="left"/>
        <w:textAlignment w:val="auto"/>
        <w:rPr>
          <w:rFonts w:hint="eastAsia" w:asciiTheme="minorEastAsia" w:hAnsiTheme="minorEastAsia" w:eastAsiaTheme="minorEastAsia" w:cstheme="minorEastAsia"/>
          <w:color w:val="auto"/>
          <w:sz w:val="21"/>
          <w:szCs w:val="21"/>
          <w:lang w:eastAsia="zh-CN"/>
        </w:rPr>
        <w:sectPr>
          <w:footerReference r:id="rId3" w:type="default"/>
          <w:pgSz w:w="11906" w:h="16838"/>
          <w:pgMar w:top="1701" w:right="1417" w:bottom="1361" w:left="147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3A63936">
      <w:pPr>
        <w:tabs>
          <w:tab w:val="left" w:pos="0"/>
        </w:tabs>
        <w:spacing w:line="360" w:lineRule="auto"/>
        <w:jc w:val="left"/>
        <w:rPr>
          <w:rFonts w:hint="eastAsia" w:ascii="仿宋_GB2312" w:eastAsia="仿宋_GB2312"/>
          <w:b/>
          <w:color w:val="auto"/>
          <w:sz w:val="24"/>
          <w:szCs w:val="24"/>
          <w:lang w:val="en-US" w:eastAsia="zh-CN"/>
        </w:rPr>
      </w:pPr>
      <w:r>
        <w:rPr>
          <w:rFonts w:hint="eastAsia" w:ascii="仿宋_GB2312" w:eastAsia="仿宋_GB2312"/>
          <w:b/>
          <w:color w:val="auto"/>
          <w:sz w:val="24"/>
          <w:szCs w:val="24"/>
          <w:lang w:val="en-US" w:eastAsia="zh-CN"/>
        </w:rPr>
        <w:t>附件</w:t>
      </w:r>
    </w:p>
    <w:p w14:paraId="3F86BED2">
      <w:pPr>
        <w:tabs>
          <w:tab w:val="left" w:pos="0"/>
        </w:tabs>
        <w:spacing w:line="360" w:lineRule="auto"/>
        <w:jc w:val="right"/>
        <w:rPr>
          <w:rFonts w:hint="default" w:ascii="仿宋_GB2312" w:eastAsia="仿宋_GB2312"/>
          <w:b/>
          <w:color w:val="auto"/>
          <w:sz w:val="24"/>
          <w:szCs w:val="24"/>
          <w:lang w:val="en-US" w:eastAsia="zh-CN"/>
        </w:rPr>
      </w:pPr>
      <w:r>
        <w:rPr>
          <w:rFonts w:hint="eastAsia" w:ascii="仿宋_GB2312" w:eastAsia="仿宋_GB2312"/>
          <w:b/>
          <w:color w:val="auto"/>
          <w:sz w:val="24"/>
          <w:szCs w:val="24"/>
        </w:rPr>
        <w:t>合同编号：</w:t>
      </w:r>
      <w:r>
        <w:rPr>
          <w:rFonts w:ascii="仿宋_GB2312" w:eastAsia="仿宋_GB2312"/>
          <w:b/>
          <w:color w:val="auto"/>
          <w:sz w:val="24"/>
          <w:szCs w:val="24"/>
        </w:rPr>
        <w:t>CMQIPSJ</w:t>
      </w:r>
      <w:r>
        <w:rPr>
          <w:rFonts w:hint="default" w:ascii="Arial" w:hAnsi="Arial" w:eastAsia="仿宋_GB2312" w:cs="Arial"/>
          <w:b/>
          <w:color w:val="auto"/>
          <w:sz w:val="24"/>
          <w:szCs w:val="24"/>
          <w:lang w:val="en-US" w:eastAsia="zh-CN"/>
        </w:rPr>
        <w:t>×××××××</w:t>
      </w:r>
    </w:p>
    <w:p w14:paraId="7DCA54AA">
      <w:pPr>
        <w:tabs>
          <w:tab w:val="left" w:pos="0"/>
        </w:tabs>
        <w:spacing w:line="360" w:lineRule="auto"/>
        <w:jc w:val="center"/>
        <w:rPr>
          <w:rFonts w:ascii="华文中宋" w:hAnsi="华文中宋" w:eastAsia="华文中宋"/>
          <w:b/>
          <w:color w:val="auto"/>
          <w:sz w:val="36"/>
          <w:szCs w:val="36"/>
          <w:highlight w:val="yellow"/>
        </w:rPr>
      </w:pPr>
      <w:r>
        <w:rPr>
          <w:rFonts w:hint="eastAsia" w:ascii="华文中宋" w:hAnsi="华文中宋" w:eastAsia="华文中宋"/>
          <w:b/>
          <w:color w:val="auto"/>
          <w:sz w:val="36"/>
          <w:szCs w:val="36"/>
          <w:highlight w:val="none"/>
        </w:rPr>
        <w:t>审计业务约定书</w:t>
      </w:r>
    </w:p>
    <w:p w14:paraId="7ECC9CD8">
      <w:pPr>
        <w:tabs>
          <w:tab w:val="left" w:pos="0"/>
        </w:tabs>
        <w:spacing w:line="360" w:lineRule="auto"/>
        <w:rPr>
          <w:rFonts w:hint="eastAsia" w:ascii="仿宋_GB2312" w:eastAsia="仿宋_GB2312"/>
          <w:color w:val="auto"/>
          <w:sz w:val="24"/>
          <w:szCs w:val="24"/>
        </w:rPr>
      </w:pPr>
    </w:p>
    <w:p w14:paraId="7EEAF3C3">
      <w:pPr>
        <w:tabs>
          <w:tab w:val="left" w:pos="0"/>
        </w:tabs>
        <w:spacing w:line="360" w:lineRule="auto"/>
        <w:rPr>
          <w:rFonts w:hint="eastAsia" w:ascii="仿宋_GB2312" w:eastAsia="仿宋_GB2312"/>
          <w:b/>
          <w:color w:val="auto"/>
          <w:sz w:val="24"/>
          <w:szCs w:val="24"/>
        </w:rPr>
      </w:pPr>
      <w:r>
        <w:rPr>
          <w:rFonts w:hint="eastAsia" w:ascii="仿宋_GB2312" w:eastAsia="仿宋_GB2312"/>
          <w:b/>
          <w:color w:val="auto"/>
          <w:sz w:val="24"/>
          <w:szCs w:val="24"/>
        </w:rPr>
        <w:t>甲方：</w:t>
      </w:r>
      <w:r>
        <w:rPr>
          <w:rFonts w:ascii="仿宋_GB2312" w:eastAsia="仿宋_GB2312"/>
          <w:b/>
          <w:bCs/>
          <w:color w:val="auto"/>
          <w:sz w:val="24"/>
          <w:szCs w:val="24"/>
          <w:u w:val="single"/>
        </w:rPr>
        <w:t>广西中</w:t>
      </w:r>
      <w:r>
        <w:rPr>
          <w:rFonts w:hint="eastAsia" w:ascii="仿宋_GB2312" w:eastAsia="仿宋_GB2312"/>
          <w:b/>
          <w:bCs/>
          <w:color w:val="auto"/>
          <w:sz w:val="24"/>
          <w:szCs w:val="24"/>
          <w:u w:val="single"/>
        </w:rPr>
        <w:t>马</w:t>
      </w:r>
      <w:r>
        <w:rPr>
          <w:rFonts w:ascii="仿宋_GB2312" w:eastAsia="仿宋_GB2312"/>
          <w:b/>
          <w:bCs/>
          <w:color w:val="auto"/>
          <w:sz w:val="24"/>
          <w:szCs w:val="24"/>
          <w:u w:val="single"/>
        </w:rPr>
        <w:t>钦州产业</w:t>
      </w:r>
      <w:r>
        <w:rPr>
          <w:rFonts w:hint="eastAsia" w:ascii="仿宋_GB2312" w:eastAsia="仿宋_GB2312"/>
          <w:b/>
          <w:bCs/>
          <w:color w:val="auto"/>
          <w:sz w:val="24"/>
          <w:szCs w:val="24"/>
          <w:u w:val="single"/>
        </w:rPr>
        <w:t>园</w:t>
      </w:r>
      <w:r>
        <w:rPr>
          <w:rFonts w:ascii="仿宋_GB2312" w:eastAsia="仿宋_GB2312"/>
          <w:b/>
          <w:bCs/>
          <w:color w:val="auto"/>
          <w:sz w:val="24"/>
          <w:szCs w:val="24"/>
          <w:u w:val="single"/>
        </w:rPr>
        <w:t>区开发有限公司</w:t>
      </w:r>
      <w:r>
        <w:rPr>
          <w:rFonts w:hint="eastAsia" w:ascii="仿宋_GB2312" w:eastAsia="仿宋_GB2312"/>
          <w:b/>
          <w:color w:val="auto"/>
          <w:sz w:val="24"/>
          <w:szCs w:val="24"/>
          <w:u w:val="single"/>
        </w:rPr>
        <w:t xml:space="preserve">       </w:t>
      </w:r>
      <w:r>
        <w:rPr>
          <w:rFonts w:ascii="仿宋_GB2312" w:eastAsia="仿宋_GB2312"/>
          <w:b/>
          <w:color w:val="auto"/>
          <w:sz w:val="24"/>
          <w:szCs w:val="24"/>
          <w:u w:val="single"/>
        </w:rPr>
        <w:t xml:space="preserve">  </w:t>
      </w:r>
      <w:r>
        <w:rPr>
          <w:rFonts w:hint="eastAsia" w:ascii="仿宋_GB2312" w:eastAsia="仿宋_GB2312"/>
          <w:b/>
          <w:color w:val="auto"/>
          <w:sz w:val="24"/>
          <w:szCs w:val="24"/>
          <w:u w:val="single"/>
        </w:rPr>
        <w:t xml:space="preserve"> </w:t>
      </w:r>
    </w:p>
    <w:p w14:paraId="52A1E87D">
      <w:pPr>
        <w:tabs>
          <w:tab w:val="left" w:pos="0"/>
        </w:tabs>
        <w:spacing w:line="360" w:lineRule="auto"/>
        <w:rPr>
          <w:rFonts w:ascii="仿宋_GB2312" w:eastAsia="仿宋_GB2312"/>
          <w:b/>
          <w:color w:val="auto"/>
          <w:sz w:val="24"/>
          <w:szCs w:val="24"/>
        </w:rPr>
      </w:pPr>
      <w:r>
        <w:rPr>
          <w:rFonts w:hint="eastAsia" w:ascii="仿宋_GB2312" w:eastAsia="仿宋_GB2312"/>
          <w:b/>
          <w:color w:val="auto"/>
          <w:sz w:val="24"/>
          <w:szCs w:val="24"/>
        </w:rPr>
        <w:t>乙方：</w:t>
      </w:r>
      <w:r>
        <w:rPr>
          <w:rFonts w:hint="eastAsia" w:ascii="仿宋_GB2312" w:eastAsia="仿宋_GB2312"/>
          <w:b/>
          <w:bCs/>
          <w:color w:val="auto"/>
          <w:sz w:val="24"/>
          <w:szCs w:val="24"/>
          <w:u w:val="single"/>
          <w:lang w:val="en-US" w:eastAsia="zh-CN"/>
        </w:rPr>
        <w:t xml:space="preserve">                                </w:t>
      </w:r>
      <w:r>
        <w:rPr>
          <w:rFonts w:hint="eastAsia" w:ascii="仿宋_GB2312" w:eastAsia="仿宋_GB2312"/>
          <w:b/>
          <w:color w:val="auto"/>
          <w:sz w:val="24"/>
          <w:szCs w:val="24"/>
          <w:u w:val="single"/>
        </w:rPr>
        <w:t xml:space="preserve">       </w:t>
      </w:r>
      <w:r>
        <w:rPr>
          <w:rFonts w:ascii="仿宋_GB2312" w:eastAsia="仿宋_GB2312"/>
          <w:b/>
          <w:color w:val="auto"/>
          <w:sz w:val="24"/>
          <w:szCs w:val="24"/>
          <w:u w:val="single"/>
        </w:rPr>
        <w:t xml:space="preserve">  </w:t>
      </w:r>
      <w:r>
        <w:rPr>
          <w:rFonts w:hint="eastAsia" w:ascii="仿宋_GB2312" w:eastAsia="仿宋_GB2312"/>
          <w:b/>
          <w:color w:val="auto"/>
          <w:sz w:val="24"/>
          <w:szCs w:val="24"/>
          <w:u w:val="single"/>
        </w:rPr>
        <w:t xml:space="preserve"> </w:t>
      </w:r>
      <w:r>
        <w:rPr>
          <w:rFonts w:hint="eastAsia" w:ascii="Arial" w:hAnsi="Arial" w:eastAsia="仿宋_GB2312" w:cs="Arial"/>
          <w:b/>
          <w:bCs/>
          <w:color w:val="auto"/>
          <w:sz w:val="24"/>
          <w:szCs w:val="24"/>
          <w:lang w:val="en-US" w:eastAsia="zh-CN"/>
        </w:rPr>
        <w:t xml:space="preserve"> </w:t>
      </w:r>
    </w:p>
    <w:p w14:paraId="7659BF5F">
      <w:pPr>
        <w:tabs>
          <w:tab w:val="left" w:pos="0"/>
        </w:tabs>
        <w:spacing w:line="360" w:lineRule="auto"/>
        <w:ind w:firstLine="482" w:firstLineChars="200"/>
        <w:jc w:val="left"/>
        <w:rPr>
          <w:rFonts w:ascii="黑体" w:hAnsi="黑体" w:eastAsia="黑体"/>
          <w:b/>
          <w:bCs/>
          <w:color w:val="auto"/>
          <w:sz w:val="24"/>
          <w:szCs w:val="24"/>
        </w:rPr>
      </w:pPr>
    </w:p>
    <w:p w14:paraId="1D3414A9">
      <w:pPr>
        <w:tabs>
          <w:tab w:val="left" w:pos="0"/>
        </w:tabs>
        <w:spacing w:line="360" w:lineRule="auto"/>
        <w:ind w:firstLine="482" w:firstLineChars="200"/>
        <w:jc w:val="left"/>
        <w:rPr>
          <w:rFonts w:hint="eastAsia" w:ascii="仿宋_GB2312" w:eastAsia="仿宋_GB2312"/>
          <w:color w:val="auto"/>
          <w:sz w:val="24"/>
          <w:szCs w:val="24"/>
        </w:rPr>
      </w:pPr>
      <w:r>
        <w:rPr>
          <w:rFonts w:hint="eastAsia" w:ascii="黑体" w:hAnsi="黑体" w:eastAsia="黑体"/>
          <w:b/>
          <w:bCs/>
          <w:color w:val="auto"/>
          <w:sz w:val="24"/>
          <w:szCs w:val="24"/>
        </w:rPr>
        <w:t xml:space="preserve">【鉴 </w:t>
      </w:r>
      <w:r>
        <w:rPr>
          <w:rFonts w:ascii="黑体" w:hAnsi="黑体" w:eastAsia="黑体"/>
          <w:b/>
          <w:bCs/>
          <w:color w:val="auto"/>
          <w:sz w:val="24"/>
          <w:szCs w:val="24"/>
        </w:rPr>
        <w:t xml:space="preserve"> </w:t>
      </w:r>
      <w:r>
        <w:rPr>
          <w:rFonts w:hint="eastAsia" w:ascii="黑体" w:hAnsi="黑体" w:eastAsia="黑体"/>
          <w:b/>
          <w:bCs/>
          <w:color w:val="auto"/>
          <w:sz w:val="24"/>
          <w:szCs w:val="24"/>
        </w:rPr>
        <w:t>于】</w:t>
      </w:r>
      <w:r>
        <w:rPr>
          <w:rFonts w:hint="eastAsia" w:ascii="仿宋" w:hAnsi="仿宋" w:eastAsia="仿宋"/>
          <w:color w:val="auto"/>
          <w:sz w:val="24"/>
          <w:szCs w:val="24"/>
        </w:rPr>
        <w:t>甲方委托</w:t>
      </w:r>
      <w:r>
        <w:rPr>
          <w:rFonts w:ascii="仿宋" w:hAnsi="仿宋" w:eastAsia="仿宋"/>
          <w:color w:val="auto"/>
          <w:sz w:val="24"/>
          <w:szCs w:val="24"/>
        </w:rPr>
        <w:t>乙方对</w:t>
      </w:r>
      <w:r>
        <w:rPr>
          <w:rFonts w:ascii="仿宋" w:hAnsi="仿宋" w:eastAsia="仿宋"/>
          <w:color w:val="auto"/>
          <w:sz w:val="24"/>
          <w:szCs w:val="24"/>
          <w:u w:val="single"/>
        </w:rPr>
        <w:t>广西中</w:t>
      </w:r>
      <w:r>
        <w:rPr>
          <w:rFonts w:hint="eastAsia" w:ascii="仿宋" w:hAnsi="仿宋" w:eastAsia="仿宋"/>
          <w:color w:val="auto"/>
          <w:sz w:val="24"/>
          <w:szCs w:val="24"/>
          <w:u w:val="single"/>
        </w:rPr>
        <w:t>马</w:t>
      </w:r>
      <w:r>
        <w:rPr>
          <w:rFonts w:ascii="仿宋" w:hAnsi="仿宋" w:eastAsia="仿宋"/>
          <w:color w:val="auto"/>
          <w:sz w:val="24"/>
          <w:szCs w:val="24"/>
          <w:u w:val="single"/>
        </w:rPr>
        <w:t>钦州产业</w:t>
      </w:r>
      <w:r>
        <w:rPr>
          <w:rFonts w:hint="eastAsia" w:ascii="仿宋" w:hAnsi="仿宋" w:eastAsia="仿宋"/>
          <w:color w:val="auto"/>
          <w:sz w:val="24"/>
          <w:szCs w:val="24"/>
          <w:u w:val="single"/>
        </w:rPr>
        <w:t>园</w:t>
      </w:r>
      <w:r>
        <w:rPr>
          <w:rFonts w:ascii="仿宋" w:hAnsi="仿宋" w:eastAsia="仿宋"/>
          <w:color w:val="auto"/>
          <w:sz w:val="24"/>
          <w:szCs w:val="24"/>
          <w:u w:val="single"/>
        </w:rPr>
        <w:t>区开发有限公司</w:t>
      </w:r>
      <w:r>
        <w:rPr>
          <w:rFonts w:hint="eastAsia" w:ascii="仿宋" w:hAnsi="仿宋" w:eastAsia="仿宋"/>
          <w:color w:val="auto"/>
          <w:sz w:val="24"/>
          <w:szCs w:val="24"/>
          <w:u w:val="single"/>
        </w:rPr>
        <w:t>及甲方各级子公司（子公司名单详见附件1，以下统称被审计单位）20</w:t>
      </w:r>
      <w:r>
        <w:rPr>
          <w:rFonts w:hint="eastAsia" w:ascii="仿宋" w:hAnsi="仿宋" w:eastAsia="仿宋"/>
          <w:color w:val="auto"/>
          <w:sz w:val="24"/>
          <w:szCs w:val="24"/>
          <w:u w:val="single"/>
          <w:lang w:val="en-US" w:eastAsia="zh-CN"/>
        </w:rPr>
        <w:t xml:space="preserve">  </w:t>
      </w:r>
      <w:r>
        <w:rPr>
          <w:rFonts w:hint="eastAsia" w:ascii="仿宋" w:hAnsi="仿宋" w:eastAsia="仿宋"/>
          <w:color w:val="auto"/>
          <w:sz w:val="24"/>
          <w:szCs w:val="24"/>
        </w:rPr>
        <w:t>年度财务报表进行审计，经甲、乙双方平等友好协商，达成以下约定：</w:t>
      </w:r>
      <w:r>
        <w:rPr>
          <w:rFonts w:hint="eastAsia" w:ascii="仿宋_GB2312" w:eastAsia="仿宋_GB2312"/>
          <w:color w:val="auto"/>
          <w:sz w:val="24"/>
          <w:szCs w:val="24"/>
        </w:rPr>
        <w:t xml:space="preserve"> </w:t>
      </w:r>
    </w:p>
    <w:p w14:paraId="7C7CAEED">
      <w:pPr>
        <w:tabs>
          <w:tab w:val="left" w:pos="0"/>
        </w:tabs>
        <w:spacing w:line="360" w:lineRule="auto"/>
        <w:rPr>
          <w:rFonts w:ascii="仿宋_GB2312" w:eastAsia="仿宋_GB2312"/>
          <w:b/>
          <w:color w:val="auto"/>
          <w:sz w:val="24"/>
          <w:szCs w:val="24"/>
        </w:rPr>
      </w:pPr>
    </w:p>
    <w:p w14:paraId="1111323B">
      <w:pPr>
        <w:pStyle w:val="2"/>
        <w:rPr>
          <w:rFonts w:hint="eastAsia"/>
          <w:color w:val="auto"/>
        </w:rPr>
      </w:pPr>
      <w:r>
        <w:rPr>
          <w:rFonts w:hint="eastAsia"/>
          <w:color w:val="auto"/>
        </w:rPr>
        <w:t>一、审计的目标和范围</w:t>
      </w:r>
    </w:p>
    <w:p w14:paraId="5225A1C6">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（一）乙方接受甲方委托，对甲方及被审计单位按照企业会计准则编制的:</w:t>
      </w:r>
    </w:p>
    <w:p w14:paraId="19B461C0">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rPr>
        <w:t>12</w:t>
      </w:r>
      <w:r>
        <w:rPr>
          <w:rFonts w:hint="eastAsia" w:ascii="仿宋_GB2312" w:eastAsia="仿宋_GB2312"/>
          <w:color w:val="auto"/>
          <w:sz w:val="24"/>
          <w:szCs w:val="24"/>
        </w:rPr>
        <w:t>月</w:t>
      </w:r>
      <w:r>
        <w:rPr>
          <w:rFonts w:hint="eastAsia" w:ascii="仿宋_GB2312" w:eastAsia="仿宋_GB2312"/>
          <w:color w:val="auto"/>
          <w:sz w:val="24"/>
          <w:szCs w:val="24"/>
          <w:u w:val="single"/>
        </w:rPr>
        <w:t>31</w:t>
      </w:r>
      <w:r>
        <w:rPr>
          <w:rFonts w:hint="eastAsia" w:ascii="仿宋_GB2312" w:eastAsia="仿宋_GB2312"/>
          <w:color w:val="auto"/>
          <w:sz w:val="24"/>
          <w:szCs w:val="24"/>
        </w:rPr>
        <w:t>日资产负债表；</w:t>
      </w:r>
    </w:p>
    <w:p w14:paraId="1B5507D4">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rPr>
        <w:t>12</w:t>
      </w:r>
      <w:r>
        <w:rPr>
          <w:rFonts w:hint="eastAsia" w:ascii="仿宋_GB2312" w:eastAsia="仿宋_GB2312"/>
          <w:color w:val="auto"/>
          <w:sz w:val="24"/>
          <w:szCs w:val="24"/>
        </w:rPr>
        <w:t>月</w:t>
      </w:r>
      <w:r>
        <w:rPr>
          <w:rFonts w:hint="eastAsia" w:ascii="仿宋_GB2312" w:eastAsia="仿宋_GB2312"/>
          <w:color w:val="auto"/>
          <w:sz w:val="24"/>
          <w:szCs w:val="24"/>
          <w:u w:val="single"/>
        </w:rPr>
        <w:t>31</w:t>
      </w:r>
      <w:r>
        <w:rPr>
          <w:rFonts w:hint="eastAsia" w:ascii="仿宋_GB2312" w:eastAsia="仿宋_GB2312"/>
          <w:color w:val="auto"/>
          <w:sz w:val="24"/>
          <w:szCs w:val="24"/>
        </w:rPr>
        <w:t>日合并资产负债表；</w:t>
      </w:r>
    </w:p>
    <w:p w14:paraId="55D49670">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年度利润表；</w:t>
      </w:r>
    </w:p>
    <w:p w14:paraId="16E4B361">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年度合并利润表；</w:t>
      </w:r>
    </w:p>
    <w:p w14:paraId="7B85362C">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年度现金流量表；</w:t>
      </w:r>
    </w:p>
    <w:p w14:paraId="1043AEB0">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度合并现金流量表；</w:t>
      </w:r>
    </w:p>
    <w:p w14:paraId="129D4FB1">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年度所有者权益（或股东权益）变动表；</w:t>
      </w:r>
    </w:p>
    <w:p w14:paraId="69448E26">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年度合并所有者权益（或股东权益）变动表；</w:t>
      </w:r>
    </w:p>
    <w:p w14:paraId="07F5139B">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年度财务报表附注；</w:t>
      </w:r>
    </w:p>
    <w:p w14:paraId="13DE330C">
      <w:pPr>
        <w:tabs>
          <w:tab w:val="left" w:pos="0"/>
        </w:tabs>
        <w:spacing w:line="360" w:lineRule="auto"/>
        <w:rPr>
          <w:rFonts w:hint="eastAsia" w:ascii="仿宋_GB2312" w:eastAsia="仿宋_GB2312"/>
          <w:color w:val="auto"/>
          <w:sz w:val="24"/>
          <w:szCs w:val="24"/>
        </w:rPr>
      </w:pPr>
      <w:r>
        <w:rPr>
          <w:rFonts w:hint="eastAsia" w:ascii="仿宋_GB2312" w:eastAsia="仿宋_GB2312"/>
          <w:color w:val="auto"/>
          <w:sz w:val="24"/>
          <w:szCs w:val="24"/>
        </w:rPr>
        <w:sym w:font="Wingdings 2" w:char="F052"/>
      </w:r>
      <w:r>
        <w:rPr>
          <w:rFonts w:hint="eastAsia" w:ascii="仿宋_GB2312" w:eastAsia="仿宋_GB2312"/>
          <w:color w:val="auto"/>
          <w:sz w:val="24"/>
          <w:szCs w:val="24"/>
        </w:rPr>
        <w:t xml:space="preserve">   </w:t>
      </w:r>
      <w:r>
        <w:rPr>
          <w:rFonts w:hint="eastAsia" w:ascii="仿宋_GB2312" w:eastAsia="仿宋_GB2312"/>
          <w:color w:val="auto"/>
          <w:sz w:val="24"/>
          <w:szCs w:val="24"/>
          <w:u w:val="single"/>
          <w:lang w:eastAsia="zh-CN"/>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年度合并财务报表附注；</w:t>
      </w:r>
    </w:p>
    <w:p w14:paraId="12FC8784">
      <w:pPr>
        <w:tabs>
          <w:tab w:val="left" w:pos="0"/>
        </w:tabs>
        <w:spacing w:line="360" w:lineRule="auto"/>
        <w:jc w:val="left"/>
        <w:rPr>
          <w:rFonts w:hint="eastAsia" w:ascii="仿宋_GB2312" w:eastAsia="仿宋_GB2312"/>
          <w:color w:val="auto"/>
          <w:sz w:val="24"/>
          <w:szCs w:val="24"/>
        </w:rPr>
      </w:pPr>
      <w:r>
        <w:rPr>
          <w:rFonts w:hint="eastAsia" w:ascii="仿宋_GB2312" w:eastAsia="仿宋_GB2312"/>
          <w:color w:val="auto"/>
          <w:sz w:val="24"/>
          <w:szCs w:val="24"/>
        </w:rPr>
        <w:t>(以下统称财务报表)进行审计。</w:t>
      </w:r>
    </w:p>
    <w:p w14:paraId="39C0B682">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二）乙方审计工作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7D25F82F">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（三）乙方通过执行审计工作，对财务报表的下列方面发表审计意见：</w:t>
      </w:r>
    </w:p>
    <w:p w14:paraId="2F818CA6">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1</w:t>
      </w:r>
      <w:r>
        <w:rPr>
          <w:rFonts w:ascii="仿宋_GB2312" w:eastAsia="仿宋_GB2312"/>
          <w:color w:val="auto"/>
          <w:sz w:val="24"/>
          <w:szCs w:val="24"/>
        </w:rPr>
        <w:t xml:space="preserve">. </w:t>
      </w:r>
      <w:r>
        <w:rPr>
          <w:rFonts w:hint="eastAsia" w:ascii="仿宋_GB2312" w:eastAsia="仿宋_GB2312"/>
          <w:color w:val="auto"/>
          <w:sz w:val="24"/>
          <w:szCs w:val="24"/>
        </w:rPr>
        <w:t>财务报表是否在所有重大方面按照企业会计准则的规定编制；</w:t>
      </w:r>
    </w:p>
    <w:p w14:paraId="2C848B79">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2</w:t>
      </w:r>
      <w:r>
        <w:rPr>
          <w:rFonts w:ascii="仿宋_GB2312" w:eastAsia="仿宋_GB2312"/>
          <w:color w:val="auto"/>
          <w:sz w:val="24"/>
          <w:szCs w:val="24"/>
        </w:rPr>
        <w:t xml:space="preserve">. </w:t>
      </w:r>
      <w:r>
        <w:rPr>
          <w:rFonts w:hint="eastAsia" w:ascii="仿宋_GB2312" w:eastAsia="仿宋_GB2312"/>
          <w:color w:val="auto"/>
          <w:sz w:val="24"/>
          <w:szCs w:val="24"/>
        </w:rPr>
        <w:t>财务报表是否在所有重大方面公允反映了被审计单位</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rPr>
        <w:t>12</w:t>
      </w:r>
      <w:r>
        <w:rPr>
          <w:rFonts w:hint="eastAsia" w:ascii="仿宋_GB2312" w:eastAsia="仿宋_GB2312"/>
          <w:color w:val="auto"/>
          <w:sz w:val="24"/>
          <w:szCs w:val="24"/>
        </w:rPr>
        <w:t>月</w:t>
      </w:r>
      <w:r>
        <w:rPr>
          <w:rFonts w:ascii="仿宋_GB2312" w:eastAsia="仿宋_GB2312"/>
          <w:color w:val="auto"/>
          <w:sz w:val="24"/>
          <w:szCs w:val="24"/>
          <w:u w:val="single"/>
        </w:rPr>
        <w:t>31</w:t>
      </w:r>
      <w:r>
        <w:rPr>
          <w:rFonts w:hint="eastAsia" w:ascii="仿宋_GB2312" w:eastAsia="仿宋_GB2312"/>
          <w:color w:val="auto"/>
          <w:sz w:val="24"/>
          <w:szCs w:val="24"/>
        </w:rPr>
        <w:t>日的财务状况以及</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年度的经营成果和现金流量。</w:t>
      </w:r>
    </w:p>
    <w:p w14:paraId="338A5B4A">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（四）乙方接受甲方委托，对甲方截至</w:t>
      </w:r>
      <w:r>
        <w:rPr>
          <w:rFonts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ascii="仿宋_GB2312" w:eastAsia="仿宋_GB2312"/>
          <w:color w:val="auto"/>
          <w:sz w:val="24"/>
          <w:szCs w:val="24"/>
        </w:rPr>
        <w:t>12</w:t>
      </w:r>
      <w:r>
        <w:rPr>
          <w:rFonts w:hint="eastAsia" w:ascii="仿宋_GB2312" w:eastAsia="仿宋_GB2312"/>
          <w:color w:val="auto"/>
          <w:sz w:val="24"/>
          <w:szCs w:val="24"/>
        </w:rPr>
        <w:t>月</w:t>
      </w:r>
      <w:r>
        <w:rPr>
          <w:rFonts w:ascii="仿宋_GB2312" w:eastAsia="仿宋_GB2312"/>
          <w:color w:val="auto"/>
          <w:sz w:val="24"/>
          <w:szCs w:val="24"/>
        </w:rPr>
        <w:t>31</w:t>
      </w:r>
      <w:r>
        <w:rPr>
          <w:rFonts w:hint="eastAsia" w:ascii="仿宋_GB2312" w:eastAsia="仿宋_GB2312"/>
          <w:color w:val="auto"/>
          <w:sz w:val="24"/>
          <w:szCs w:val="24"/>
        </w:rPr>
        <w:t>日按照《企业内部控制基本规范》和相关规定建立的内部控制设计与运用进行审计并对其有效性发表审计意见。</w:t>
      </w:r>
    </w:p>
    <w:p w14:paraId="60FB325A">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（五）本审计业务约定书所约定的需要单独出具审计报告的被审计单位名单附后，以双方签字并盖章确认为准。</w:t>
      </w:r>
    </w:p>
    <w:p w14:paraId="5B76B8F2">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（六）乙方向甲方出具合并审计报告（中、英文版）、合并管理建议书（中、英文版）及合并内部控制审计报告（中、英文版）。</w:t>
      </w:r>
    </w:p>
    <w:p w14:paraId="2AB5A1EB">
      <w:pPr>
        <w:pStyle w:val="2"/>
        <w:rPr>
          <w:rFonts w:hint="eastAsia"/>
          <w:color w:val="auto"/>
        </w:rPr>
      </w:pPr>
      <w:r>
        <w:rPr>
          <w:rFonts w:hint="eastAsia"/>
          <w:color w:val="auto"/>
        </w:rPr>
        <w:t>二、甲方的责任</w:t>
      </w:r>
    </w:p>
    <w:p w14:paraId="53675BD7">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一）根据《中华人民共和国会计法》及《企业财务会计报告条例》，甲方、被审计单位及相关负责人有责任保证会计资料的真实性和完整性。因此，甲方及被审计单位管理层有责任妥善保存并向乙方提供会计记录（包括但不限于会计凭证、会计账簿、会计报表及其他交易资料、会计资料），这些记录必须真实、完整地反映甲方及被审计单位的财务状况、经营成果和现金流量。</w:t>
      </w:r>
    </w:p>
    <w:p w14:paraId="77ADE73A">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（二）按照企业会计准则的规定编制和公允列报财务报表是甲方及被审计单位管理层的责任，这种责任包括：</w:t>
      </w:r>
    </w:p>
    <w:p w14:paraId="7B7767A0">
      <w:pPr>
        <w:tabs>
          <w:tab w:val="left" w:pos="0"/>
        </w:tabs>
        <w:spacing w:line="360" w:lineRule="auto"/>
        <w:ind w:firstLine="480" w:firstLineChars="200"/>
        <w:rPr>
          <w:rFonts w:ascii="仿宋_GB2312" w:eastAsia="仿宋_GB2312"/>
          <w:color w:val="auto"/>
          <w:sz w:val="24"/>
          <w:szCs w:val="24"/>
        </w:rPr>
      </w:pPr>
      <w:r>
        <w:rPr>
          <w:rFonts w:ascii="仿宋_GB2312" w:eastAsia="仿宋_GB2312"/>
          <w:color w:val="auto"/>
          <w:sz w:val="24"/>
          <w:szCs w:val="24"/>
        </w:rPr>
        <w:t xml:space="preserve">1. </w:t>
      </w:r>
      <w:r>
        <w:rPr>
          <w:rFonts w:hint="eastAsia" w:ascii="仿宋_GB2312" w:eastAsia="仿宋_GB2312"/>
          <w:color w:val="auto"/>
          <w:sz w:val="24"/>
          <w:szCs w:val="24"/>
        </w:rPr>
        <w:t>按照企业会计准则的规定编制财务报表，并使其实现公允反映；</w:t>
      </w:r>
    </w:p>
    <w:p w14:paraId="5C07A8C4">
      <w:pPr>
        <w:tabs>
          <w:tab w:val="left" w:pos="0"/>
        </w:tabs>
        <w:spacing w:line="360" w:lineRule="auto"/>
        <w:ind w:firstLine="480" w:firstLineChars="200"/>
        <w:rPr>
          <w:rFonts w:hint="eastAsia" w:ascii="仿宋_GB2312" w:eastAsia="仿宋_GB2312"/>
          <w:color w:val="auto"/>
          <w:sz w:val="24"/>
          <w:szCs w:val="24"/>
        </w:rPr>
      </w:pPr>
      <w:r>
        <w:rPr>
          <w:rFonts w:ascii="仿宋_GB2312" w:eastAsia="仿宋_GB2312"/>
          <w:color w:val="auto"/>
          <w:sz w:val="24"/>
          <w:szCs w:val="24"/>
        </w:rPr>
        <w:t xml:space="preserve">2. </w:t>
      </w:r>
      <w:r>
        <w:rPr>
          <w:rFonts w:hint="eastAsia" w:ascii="仿宋_GB2312" w:eastAsia="仿宋_GB2312"/>
          <w:color w:val="auto"/>
          <w:sz w:val="24"/>
          <w:szCs w:val="24"/>
        </w:rPr>
        <w:t>设计、执行和维护必要的内部控制，以使财务报表不存在由于舞弊或错误导致的重大错报。</w:t>
      </w:r>
    </w:p>
    <w:p w14:paraId="76AD3BD8">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（三）在编制财务报表时，甲方及被审计单位管理层负责评估甲方及被审计单位的持续经营能力，</w:t>
      </w:r>
      <w:r>
        <w:rPr>
          <w:rFonts w:ascii="仿宋_GB2312" w:eastAsia="仿宋_GB2312"/>
          <w:color w:val="auto"/>
          <w:sz w:val="24"/>
          <w:szCs w:val="24"/>
        </w:rPr>
        <w:t>必须时披露与持续经营相关的事项，并运用持续经营假设，除非</w:t>
      </w:r>
      <w:r>
        <w:rPr>
          <w:rFonts w:hint="eastAsia" w:ascii="仿宋_GB2312" w:eastAsia="仿宋_GB2312"/>
          <w:color w:val="auto"/>
          <w:sz w:val="24"/>
          <w:szCs w:val="24"/>
        </w:rPr>
        <w:t>管理层计划清算、</w:t>
      </w:r>
      <w:r>
        <w:rPr>
          <w:rFonts w:ascii="仿宋_GB2312" w:eastAsia="仿宋_GB2312"/>
          <w:color w:val="auto"/>
          <w:sz w:val="24"/>
          <w:szCs w:val="24"/>
        </w:rPr>
        <w:t>终止运营或别无其他现实的选择。甲方</w:t>
      </w:r>
      <w:r>
        <w:rPr>
          <w:rFonts w:hint="eastAsia" w:ascii="仿宋_GB2312" w:eastAsia="仿宋_GB2312"/>
          <w:color w:val="auto"/>
          <w:sz w:val="24"/>
          <w:szCs w:val="24"/>
        </w:rPr>
        <w:t>及被审计单位</w:t>
      </w:r>
      <w:r>
        <w:rPr>
          <w:rFonts w:ascii="仿宋_GB2312" w:eastAsia="仿宋_GB2312"/>
          <w:color w:val="auto"/>
          <w:sz w:val="24"/>
          <w:szCs w:val="24"/>
        </w:rPr>
        <w:t>治理层负责</w:t>
      </w:r>
      <w:r>
        <w:rPr>
          <w:rFonts w:hint="eastAsia" w:ascii="仿宋_GB2312" w:eastAsia="仿宋_GB2312"/>
          <w:color w:val="auto"/>
          <w:sz w:val="24"/>
          <w:szCs w:val="24"/>
        </w:rPr>
        <w:t>监督甲方及被审计单位的财务报告过程。</w:t>
      </w:r>
    </w:p>
    <w:p w14:paraId="77A778B4">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（四）及时为乙方的审计工作提供与审计有关的所有记录、文件和所需的其他信息在</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日之前提供审计所需的全部资料，如果在审计过程中需要补充资料，亦应按乙方要求及时提供，并保证所提供资料的真实性和完整性。</w:t>
      </w:r>
    </w:p>
    <w:p w14:paraId="39FC538C">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（五）确保乙方不受限制地接触其认为必要的甲方及被审计单位内部人员和其他相关人员。</w:t>
      </w:r>
    </w:p>
    <w:p w14:paraId="7FD6ED49">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（六）甲方及被审计单位管理层对其作出的与审计有关的声明予以书面确认。</w:t>
      </w:r>
    </w:p>
    <w:p w14:paraId="3A5C9D42">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（七）为乙方派出的有关工作人员提供必要的工作条件和协助，乙方将于外勤工作开始前提供主要事项清单。</w:t>
      </w:r>
    </w:p>
    <w:p w14:paraId="23FD0956">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（八）按照本约定书的约定及时足额支付审计费用。</w:t>
      </w:r>
    </w:p>
    <w:p w14:paraId="36993F8B">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（九）乙方的审计不能减轻甲方及甲方管理层、被审计单位及其管理层的责任。</w:t>
      </w:r>
    </w:p>
    <w:p w14:paraId="597C112C">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十）根据《中华人民共和国会计法》及《企业内部控制基本规范》，甲方及被审计单位有责任设计、执行和维护有效的内部控制，制定本公司的内部控制制度并组织其实施，并对本公司内部控制的有效性进行自我评价，披露年度自我评价报告。</w:t>
      </w:r>
    </w:p>
    <w:p w14:paraId="0CA5436D">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（十一）向乙方提供执行上述审计工作所需要的其他信息，包括但不限于：</w:t>
      </w:r>
    </w:p>
    <w:p w14:paraId="67C6B728">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1、就甲方及被审计单位注意到的、自审计报告日至内部控制评价报告报出日之间发生的可能影响内部控制的事项，及时告知乙方；</w:t>
      </w:r>
    </w:p>
    <w:p w14:paraId="68C99789">
      <w:pPr>
        <w:tabs>
          <w:tab w:val="left" w:pos="0"/>
        </w:tabs>
        <w:spacing w:line="360" w:lineRule="auto"/>
        <w:ind w:firstLine="480" w:firstLineChars="200"/>
        <w:rPr>
          <w:rFonts w:ascii="仿宋_GB2312" w:eastAsia="仿宋_GB2312"/>
          <w:color w:val="auto"/>
          <w:sz w:val="24"/>
          <w:szCs w:val="24"/>
        </w:rPr>
      </w:pPr>
      <w:r>
        <w:rPr>
          <w:rFonts w:ascii="仿宋_GB2312" w:eastAsia="仿宋_GB2312"/>
          <w:color w:val="auto"/>
          <w:sz w:val="24"/>
          <w:szCs w:val="24"/>
        </w:rPr>
        <w:t>2</w:t>
      </w:r>
      <w:r>
        <w:rPr>
          <w:rFonts w:hint="eastAsia" w:ascii="仿宋_GB2312" w:eastAsia="仿宋_GB2312"/>
          <w:color w:val="auto"/>
          <w:sz w:val="24"/>
          <w:szCs w:val="24"/>
        </w:rPr>
        <w:t>、就甲方及被审计单位管理层和治理层与监管机构关于内部控制事项进行的重要沟通，及时告知乙方；</w:t>
      </w:r>
    </w:p>
    <w:p w14:paraId="3EEBF097">
      <w:pPr>
        <w:tabs>
          <w:tab w:val="left" w:pos="0"/>
        </w:tabs>
        <w:spacing w:line="360" w:lineRule="auto"/>
        <w:ind w:firstLine="480" w:firstLineChars="200"/>
        <w:rPr>
          <w:rFonts w:ascii="仿宋_GB2312" w:eastAsia="仿宋_GB2312"/>
          <w:color w:val="auto"/>
          <w:sz w:val="24"/>
          <w:szCs w:val="24"/>
        </w:rPr>
      </w:pPr>
      <w:r>
        <w:rPr>
          <w:rFonts w:ascii="仿宋_GB2312" w:eastAsia="仿宋_GB2312"/>
          <w:color w:val="auto"/>
          <w:sz w:val="24"/>
          <w:szCs w:val="24"/>
        </w:rPr>
        <w:t>3</w:t>
      </w:r>
      <w:r>
        <w:rPr>
          <w:rFonts w:hint="eastAsia" w:ascii="仿宋_GB2312" w:eastAsia="仿宋_GB2312"/>
          <w:color w:val="auto"/>
          <w:sz w:val="24"/>
          <w:szCs w:val="24"/>
        </w:rPr>
        <w:t>、就甲方及被审计单位管理层己经知悉的、可能影响内部控制的所有违反或可能违反法律法规的情况，及时告知乙方；</w:t>
      </w:r>
    </w:p>
    <w:p w14:paraId="09D05517">
      <w:pPr>
        <w:tabs>
          <w:tab w:val="left" w:pos="0"/>
        </w:tabs>
        <w:spacing w:line="360" w:lineRule="auto"/>
        <w:ind w:firstLine="480" w:firstLineChars="200"/>
        <w:rPr>
          <w:rFonts w:ascii="仿宋_GB2312" w:eastAsia="仿宋_GB2312"/>
          <w:color w:val="auto"/>
          <w:sz w:val="24"/>
          <w:szCs w:val="24"/>
        </w:rPr>
      </w:pPr>
      <w:r>
        <w:rPr>
          <w:rFonts w:ascii="仿宋_GB2312" w:eastAsia="仿宋_GB2312"/>
          <w:color w:val="auto"/>
          <w:sz w:val="24"/>
          <w:szCs w:val="24"/>
        </w:rPr>
        <w:t>4</w:t>
      </w:r>
      <w:r>
        <w:rPr>
          <w:rFonts w:hint="eastAsia" w:ascii="仿宋_GB2312" w:eastAsia="仿宋_GB2312"/>
          <w:color w:val="auto"/>
          <w:sz w:val="24"/>
          <w:szCs w:val="24"/>
        </w:rPr>
        <w:t>、就甲方及被审计单位管理层和治理层己经知悉的任何影晌甲方及被审计单位的舞弊、舞弊嫌疑或舞弊指控，及时告知乙方；</w:t>
      </w:r>
    </w:p>
    <w:p w14:paraId="62D02291">
      <w:pPr>
        <w:tabs>
          <w:tab w:val="left" w:pos="0"/>
        </w:tabs>
        <w:spacing w:line="360" w:lineRule="auto"/>
        <w:ind w:firstLine="480" w:firstLineChars="200"/>
        <w:rPr>
          <w:rFonts w:ascii="仿宋_GB2312" w:eastAsia="仿宋_GB2312"/>
          <w:color w:val="auto"/>
          <w:sz w:val="24"/>
          <w:szCs w:val="24"/>
        </w:rPr>
      </w:pPr>
      <w:r>
        <w:rPr>
          <w:rFonts w:ascii="仿宋_GB2312" w:eastAsia="仿宋_GB2312"/>
          <w:color w:val="auto"/>
          <w:sz w:val="24"/>
          <w:szCs w:val="24"/>
        </w:rPr>
        <w:t>5</w:t>
      </w:r>
      <w:r>
        <w:rPr>
          <w:rFonts w:hint="eastAsia" w:ascii="仿宋_GB2312" w:eastAsia="仿宋_GB2312"/>
          <w:color w:val="auto"/>
          <w:sz w:val="24"/>
          <w:szCs w:val="24"/>
        </w:rPr>
        <w:t>、就甲方及被审计单位管理层己经履行其责任提供书面声明，如果乙方认为有必要获取其他证据的书面声明，亦应及时提供：</w:t>
      </w:r>
    </w:p>
    <w:p w14:paraId="2663E1D4">
      <w:pPr>
        <w:tabs>
          <w:tab w:val="left" w:pos="0"/>
        </w:tabs>
        <w:spacing w:line="360" w:lineRule="auto"/>
        <w:ind w:firstLine="480" w:firstLineChars="200"/>
        <w:rPr>
          <w:rFonts w:hint="eastAsia" w:ascii="仿宋_GB2312" w:eastAsia="仿宋_GB2312"/>
          <w:color w:val="auto"/>
          <w:sz w:val="24"/>
          <w:szCs w:val="24"/>
        </w:rPr>
      </w:pPr>
      <w:r>
        <w:rPr>
          <w:rFonts w:ascii="仿宋_GB2312" w:eastAsia="仿宋_GB2312"/>
          <w:color w:val="auto"/>
          <w:sz w:val="24"/>
          <w:szCs w:val="24"/>
        </w:rPr>
        <w:t>6</w:t>
      </w:r>
      <w:r>
        <w:rPr>
          <w:rFonts w:hint="eastAsia" w:ascii="仿宋_GB2312" w:eastAsia="仿宋_GB2312"/>
          <w:color w:val="auto"/>
          <w:sz w:val="24"/>
          <w:szCs w:val="24"/>
        </w:rPr>
        <w:t>、就甲方及被审计单位将与内部控制评价报告一同公布或报送的其他文件，及时提供给乙方。</w:t>
      </w:r>
    </w:p>
    <w:p w14:paraId="4C4BD711">
      <w:pPr>
        <w:pStyle w:val="2"/>
        <w:rPr>
          <w:rFonts w:hint="eastAsia"/>
          <w:color w:val="auto"/>
        </w:rPr>
      </w:pPr>
      <w:r>
        <w:rPr>
          <w:rFonts w:hint="eastAsia"/>
          <w:color w:val="auto"/>
        </w:rPr>
        <w:t>三、乙方的责任</w:t>
      </w:r>
    </w:p>
    <w:p w14:paraId="0D0AB925">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w:t>
      </w:r>
      <w:r>
        <w:rPr>
          <w:rFonts w:ascii="仿宋_GB2312" w:eastAsia="仿宋_GB2312"/>
          <w:color w:val="auto"/>
          <w:sz w:val="24"/>
          <w:szCs w:val="24"/>
        </w:rPr>
        <w:t>乙方按照中国注册会计师审计准则（以下简称审计准则）的</w:t>
      </w:r>
      <w:r>
        <w:rPr>
          <w:rFonts w:hint="eastAsia" w:ascii="仿宋_GB2312" w:eastAsia="仿宋_GB2312"/>
          <w:color w:val="auto"/>
          <w:sz w:val="24"/>
          <w:szCs w:val="24"/>
        </w:rPr>
        <w:t>规定执行审计工作。审计准则要求注册会计师遵守中国注册会计师职业道德守则。</w:t>
      </w:r>
      <w:r>
        <w:rPr>
          <w:rFonts w:ascii="仿宋_GB2312" w:eastAsia="仿宋_GB2312"/>
          <w:color w:val="auto"/>
          <w:sz w:val="24"/>
          <w:szCs w:val="24"/>
        </w:rPr>
        <w:t>在执行审计的过程中，乙方需要运用职业判断，保持职</w:t>
      </w:r>
      <w:r>
        <w:rPr>
          <w:rFonts w:hint="eastAsia" w:ascii="仿宋_GB2312" w:eastAsia="仿宋_GB2312"/>
          <w:color w:val="auto"/>
          <w:sz w:val="24"/>
          <w:szCs w:val="24"/>
        </w:rPr>
        <w:t xml:space="preserve">业怀疑。 </w:t>
      </w:r>
    </w:p>
    <w:p w14:paraId="2046E759">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（二）</w:t>
      </w:r>
      <w:r>
        <w:rPr>
          <w:rFonts w:ascii="仿宋_GB2312" w:eastAsia="仿宋_GB2312"/>
          <w:color w:val="auto"/>
          <w:sz w:val="24"/>
          <w:szCs w:val="24"/>
        </w:rPr>
        <w:t>乙方识别和评估由于舞弊或错误导致的财务报表重大错报风</w:t>
      </w:r>
      <w:r>
        <w:rPr>
          <w:rFonts w:hint="eastAsia" w:ascii="仿宋_GB2312" w:eastAsia="仿宋_GB2312"/>
          <w:color w:val="auto"/>
          <w:sz w:val="24"/>
          <w:szCs w:val="24"/>
        </w:rPr>
        <w:t>险，</w:t>
      </w:r>
      <w:r>
        <w:rPr>
          <w:rFonts w:ascii="仿宋_GB2312" w:eastAsia="仿宋_GB2312"/>
          <w:color w:val="auto"/>
          <w:sz w:val="24"/>
          <w:szCs w:val="24"/>
        </w:rPr>
        <w:t>设计和实施审计程序以应对这些风险，并获取充分、适当的审计</w:t>
      </w:r>
      <w:r>
        <w:rPr>
          <w:rFonts w:hint="eastAsia" w:ascii="仿宋_GB2312" w:eastAsia="仿宋_GB2312"/>
          <w:color w:val="auto"/>
          <w:sz w:val="24"/>
          <w:szCs w:val="24"/>
        </w:rPr>
        <w:t>证据，作为发表审计意见的基础。由于舞弊可能涉及串通、伪造、故意遗漏、虚假陈述或凌驾于内部控制之上，未能发现由于舞弊导致的重大错报的风险高于未能发现由于错误导致的重大错报的风险。</w:t>
      </w:r>
    </w:p>
    <w:p w14:paraId="473EFF8B">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w:t>
      </w:r>
      <w:r>
        <w:rPr>
          <w:rFonts w:ascii="仿宋_GB2312" w:eastAsia="仿宋_GB2312"/>
          <w:color w:val="auto"/>
          <w:sz w:val="24"/>
          <w:szCs w:val="24"/>
        </w:rPr>
        <w:t>乙方了解与审计相关的内部控制，以设计恰当的审计程序。</w:t>
      </w:r>
    </w:p>
    <w:p w14:paraId="76BEC674">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（四）</w:t>
      </w:r>
      <w:r>
        <w:rPr>
          <w:rFonts w:ascii="仿宋_GB2312" w:eastAsia="仿宋_GB2312"/>
          <w:color w:val="auto"/>
          <w:sz w:val="24"/>
          <w:szCs w:val="24"/>
        </w:rPr>
        <w:t>乙方评价管理层选用会计政策的恰当性和作出会计估计及相</w:t>
      </w:r>
      <w:r>
        <w:rPr>
          <w:rFonts w:hint="eastAsia" w:ascii="仿宋_GB2312" w:eastAsia="仿宋_GB2312"/>
          <w:color w:val="auto"/>
          <w:sz w:val="24"/>
          <w:szCs w:val="24"/>
        </w:rPr>
        <w:t>关披露的合理性。</w:t>
      </w:r>
    </w:p>
    <w:p w14:paraId="671FF3BA">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（五）</w:t>
      </w:r>
      <w:r>
        <w:rPr>
          <w:rFonts w:ascii="仿宋_GB2312" w:eastAsia="仿宋_GB2312"/>
          <w:color w:val="auto"/>
          <w:sz w:val="24"/>
          <w:szCs w:val="24"/>
        </w:rPr>
        <w:t>乙方对甲方</w:t>
      </w:r>
      <w:r>
        <w:rPr>
          <w:rFonts w:hint="eastAsia" w:ascii="仿宋_GB2312" w:eastAsia="仿宋_GB2312"/>
          <w:color w:val="auto"/>
          <w:sz w:val="24"/>
          <w:szCs w:val="24"/>
        </w:rPr>
        <w:t>及被审计单位</w:t>
      </w:r>
      <w:r>
        <w:rPr>
          <w:rFonts w:ascii="仿宋_GB2312" w:eastAsia="仿宋_GB2312"/>
          <w:color w:val="auto"/>
          <w:sz w:val="24"/>
          <w:szCs w:val="24"/>
        </w:rPr>
        <w:t>管理层使用持续经营假设的恰当性得出结论。同</w:t>
      </w:r>
      <w:r>
        <w:rPr>
          <w:rFonts w:hint="eastAsia" w:ascii="仿宋_GB2312" w:eastAsia="仿宋_GB2312"/>
          <w:color w:val="auto"/>
          <w:sz w:val="24"/>
          <w:szCs w:val="24"/>
        </w:rPr>
        <w:t>时，根据获取的审计证据，就可能导致对甲方及被审计单位持续经营能力产生重大疑虑的事项或情况是否存在重大不确定性得出结论。如果乙方得出结论认为存在重大不确定性，应当在审计报告中提请报表使用者注意财务报表中的相关披露；如果披露不充分，乙方应当发表非无保留意见。乙方的结论基于截至审计报告日可获得的信息。然而，未来的事项或情况可能导致甲方及被审计单位不能持续经营。</w:t>
      </w:r>
    </w:p>
    <w:p w14:paraId="2F758F56">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（六）</w:t>
      </w:r>
      <w:r>
        <w:rPr>
          <w:rFonts w:ascii="仿宋_GB2312" w:eastAsia="仿宋_GB2312"/>
          <w:color w:val="auto"/>
          <w:sz w:val="24"/>
          <w:szCs w:val="24"/>
        </w:rPr>
        <w:t>乙方评价财务报表的总体列报、结构和内容（包括披露），并</w:t>
      </w:r>
      <w:r>
        <w:rPr>
          <w:rFonts w:hint="eastAsia" w:ascii="仿宋_GB2312" w:eastAsia="仿宋_GB2312"/>
          <w:color w:val="auto"/>
          <w:sz w:val="24"/>
          <w:szCs w:val="24"/>
        </w:rPr>
        <w:t>评价财务报表是否公允反映相关交易和事项。</w:t>
      </w:r>
    </w:p>
    <w:p w14:paraId="3EAC35FC">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（七）</w:t>
      </w:r>
      <w:r>
        <w:rPr>
          <w:rFonts w:ascii="仿宋_GB2312" w:eastAsia="仿宋_GB2312"/>
          <w:color w:val="auto"/>
          <w:sz w:val="24"/>
          <w:szCs w:val="24"/>
        </w:rPr>
        <w:t>乙方从与甲方</w:t>
      </w:r>
      <w:r>
        <w:rPr>
          <w:rFonts w:hint="eastAsia" w:ascii="仿宋_GB2312" w:eastAsia="仿宋_GB2312"/>
          <w:color w:val="auto"/>
          <w:sz w:val="24"/>
          <w:szCs w:val="24"/>
        </w:rPr>
        <w:t>及被审计单位</w:t>
      </w:r>
      <w:r>
        <w:rPr>
          <w:rFonts w:ascii="仿宋_GB2312" w:eastAsia="仿宋_GB2312"/>
          <w:color w:val="auto"/>
          <w:sz w:val="24"/>
          <w:szCs w:val="24"/>
        </w:rPr>
        <w:t>治理层沟通过的事项中，确定对本期财务报表</w:t>
      </w:r>
      <w:r>
        <w:rPr>
          <w:rFonts w:hint="eastAsia" w:ascii="仿宋_GB2312" w:eastAsia="仿宋_GB2312"/>
          <w:color w:val="auto"/>
          <w:sz w:val="24"/>
          <w:szCs w:val="24"/>
        </w:rPr>
        <w:t>审计最为重要的事项（关键审计事项），并在审计报告中描述这些事项（如适用）。</w:t>
      </w:r>
      <w:r>
        <w:rPr>
          <w:rFonts w:ascii="仿宋_GB2312" w:eastAsia="仿宋_GB2312"/>
          <w:color w:val="auto"/>
          <w:sz w:val="24"/>
          <w:szCs w:val="24"/>
        </w:rPr>
        <w:t>这些事项的应对以对财务报表整体进行审计并形成审</w:t>
      </w:r>
      <w:r>
        <w:rPr>
          <w:rFonts w:hint="eastAsia" w:ascii="仿宋_GB2312" w:eastAsia="仿宋_GB2312"/>
          <w:color w:val="auto"/>
          <w:sz w:val="24"/>
          <w:szCs w:val="24"/>
        </w:rPr>
        <w:t>计意见为背景，</w:t>
      </w:r>
      <w:r>
        <w:rPr>
          <w:rFonts w:ascii="仿宋_GB2312" w:eastAsia="仿宋_GB2312"/>
          <w:color w:val="auto"/>
          <w:sz w:val="24"/>
          <w:szCs w:val="24"/>
        </w:rPr>
        <w:t>乙方不对这些事项单独发表意见。</w:t>
      </w:r>
    </w:p>
    <w:p w14:paraId="7F10FFE5">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八）乙方的责任是在执行审计工作的基础上对甲方及被审计单位财务报告内部控制的有效性发表审计意见。乙方根据《企业内部控制审计指引》及相关中国注册会计师执业准则的规定执行审计工作。该指引及相关执业准则要求注册会计师遵守中国注册会计师职业道德守则，计划和执行审计工作以对甲方及被审计单位在所有重大方面是否保持了有效的财务报告内部控制获取合理保证。</w:t>
      </w:r>
    </w:p>
    <w:p w14:paraId="4C7E9CFB">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九）审计工作涉及实施审计程序，以获取与财务报告内部控制有关的审计证据。选择的审计程序取决于乙方的判断，包括评估重大缺陷存在的风险，根据评估的风险测试和评价内部控制设计和运行的有效性。审计工作还包括实施乙方认为必要的其他程序。</w:t>
      </w:r>
    </w:p>
    <w:p w14:paraId="655CAEB3">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十）内部控制具有固有局限性，存在不能防止和发现错报的可能性；此外，由于情况的变化可能导致内部控制变得不恰当，或对控制政策和程序遵循程度降低，因此，根据内部控制审计结果推测未来内部控制的有效性具有一定风险。</w:t>
      </w:r>
    </w:p>
    <w:p w14:paraId="69706EC8">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十一）在审计过程中，乙方若发现甲方及被审计单位存在乙方认为值得关注的内部控制缺陷，应以书面形式向甲方及被审计单位治理层或管理层通报。但乙方通报的各种事项，并不代表已全面说明所有可能存在的缺陷或已提出所有可行的改进建议。甲方及被审计单位在实施乙方提出的改进建议前应全面评估其影响。未经乙方书面许可，甲方及被审计单位不得向任何第三方提供乙方出具的沟通文件，除非法律法规另有要求。</w:t>
      </w:r>
    </w:p>
    <w:p w14:paraId="5D9EA812">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（十二）</w:t>
      </w:r>
      <w:r>
        <w:rPr>
          <w:rFonts w:ascii="仿宋_GB2312" w:eastAsia="仿宋_GB2312"/>
          <w:color w:val="auto"/>
          <w:sz w:val="24"/>
          <w:szCs w:val="24"/>
        </w:rPr>
        <w:t>由于审计和内部控制的固有限制，即使按照审计准则的规定</w:t>
      </w:r>
      <w:r>
        <w:rPr>
          <w:rFonts w:hint="eastAsia" w:ascii="仿宋_GB2312" w:eastAsia="仿宋_GB2312"/>
          <w:color w:val="auto"/>
          <w:sz w:val="24"/>
          <w:szCs w:val="24"/>
        </w:rPr>
        <w:t>适当地计划和执行审计工作，仍无法避免财务报表的某些重大错报可能未被乙方发现的风险。</w:t>
      </w:r>
    </w:p>
    <w:p w14:paraId="6FF355E7">
      <w:pPr>
        <w:tabs>
          <w:tab w:val="left" w:pos="0"/>
        </w:tabs>
        <w:spacing w:line="360" w:lineRule="auto"/>
        <w:ind w:left="105" w:leftChars="50" w:firstLine="360" w:firstLineChars="150"/>
        <w:rPr>
          <w:rFonts w:hint="eastAsia" w:ascii="仿宋_GB2312" w:eastAsia="仿宋_GB2312"/>
          <w:color w:val="auto"/>
          <w:sz w:val="24"/>
          <w:szCs w:val="24"/>
        </w:rPr>
      </w:pPr>
      <w:r>
        <w:rPr>
          <w:rFonts w:hint="eastAsia" w:ascii="仿宋_GB2312" w:eastAsia="仿宋_GB2312"/>
          <w:color w:val="auto"/>
          <w:sz w:val="24"/>
          <w:szCs w:val="24"/>
        </w:rPr>
        <w:t>（十三）按照约定时间完成审计工作，出具审计报告，非乙方原因影响报告按期出具的，乙方出具报告的时间顺延。乙方应按照如下时间节点及要求进行：</w:t>
      </w:r>
    </w:p>
    <w:p w14:paraId="139909E1">
      <w:pPr>
        <w:tabs>
          <w:tab w:val="left" w:pos="0"/>
        </w:tabs>
        <w:spacing w:line="360" w:lineRule="auto"/>
        <w:ind w:left="105" w:leftChars="50" w:firstLine="360" w:firstLineChars="150"/>
        <w:rPr>
          <w:rFonts w:hint="eastAsia" w:ascii="仿宋_GB2312" w:eastAsia="仿宋_GB2312"/>
          <w:color w:val="auto"/>
          <w:sz w:val="24"/>
          <w:szCs w:val="24"/>
        </w:rPr>
      </w:pPr>
      <w:r>
        <w:rPr>
          <w:rFonts w:hint="eastAsia" w:ascii="仿宋_GB2312" w:eastAsia="仿宋_GB2312"/>
          <w:color w:val="auto"/>
          <w:sz w:val="24"/>
          <w:szCs w:val="24"/>
        </w:rPr>
        <w:t>1.中期现场审计：</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日之前开始进行。</w:t>
      </w:r>
    </w:p>
    <w:p w14:paraId="52D2AA3F">
      <w:pPr>
        <w:tabs>
          <w:tab w:val="left" w:pos="0"/>
        </w:tabs>
        <w:spacing w:line="360" w:lineRule="auto"/>
        <w:ind w:left="105" w:leftChars="50" w:firstLine="360" w:firstLineChars="150"/>
        <w:rPr>
          <w:rFonts w:hint="eastAsia" w:ascii="仿宋_GB2312" w:eastAsia="仿宋_GB2312"/>
          <w:color w:val="auto"/>
          <w:sz w:val="24"/>
          <w:szCs w:val="24"/>
        </w:rPr>
      </w:pPr>
      <w:r>
        <w:rPr>
          <w:rFonts w:hint="eastAsia" w:ascii="仿宋_GB2312" w:eastAsia="仿宋_GB2312"/>
          <w:color w:val="auto"/>
          <w:sz w:val="24"/>
          <w:szCs w:val="24"/>
        </w:rPr>
        <w:t>2.年终现场审计：</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日之前开始进行。</w:t>
      </w:r>
    </w:p>
    <w:p w14:paraId="6AA122E8">
      <w:pPr>
        <w:tabs>
          <w:tab w:val="left" w:pos="0"/>
        </w:tabs>
        <w:spacing w:line="360" w:lineRule="auto"/>
        <w:ind w:left="105" w:leftChars="50" w:firstLine="360" w:firstLineChars="150"/>
        <w:rPr>
          <w:rFonts w:hint="eastAsia" w:ascii="仿宋_GB2312" w:eastAsia="仿宋_GB2312"/>
          <w:color w:val="auto"/>
          <w:sz w:val="24"/>
          <w:szCs w:val="24"/>
        </w:rPr>
      </w:pPr>
      <w:r>
        <w:rPr>
          <w:rFonts w:hint="eastAsia" w:ascii="仿宋_GB2312" w:eastAsia="仿宋_GB2312"/>
          <w:color w:val="auto"/>
          <w:sz w:val="24"/>
          <w:szCs w:val="24"/>
        </w:rPr>
        <w:t>3.审计报表定稿数据（中文版）：</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日之前完成。</w:t>
      </w:r>
    </w:p>
    <w:p w14:paraId="164E0B25">
      <w:pPr>
        <w:tabs>
          <w:tab w:val="left" w:pos="0"/>
        </w:tabs>
        <w:spacing w:line="360" w:lineRule="auto"/>
        <w:ind w:left="105" w:leftChars="50" w:firstLine="360" w:firstLineChars="150"/>
        <w:rPr>
          <w:rFonts w:hint="eastAsia" w:ascii="仿宋_GB2312" w:eastAsia="仿宋_GB2312"/>
          <w:color w:val="auto"/>
          <w:sz w:val="24"/>
          <w:szCs w:val="24"/>
        </w:rPr>
      </w:pPr>
      <w:r>
        <w:rPr>
          <w:rFonts w:hint="eastAsia" w:ascii="仿宋_GB2312" w:eastAsia="仿宋_GB2312"/>
          <w:color w:val="auto"/>
          <w:sz w:val="24"/>
          <w:szCs w:val="24"/>
        </w:rPr>
        <w:t>4.财务报表审计报告初稿（中文版）</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日之前完成。</w:t>
      </w:r>
    </w:p>
    <w:p w14:paraId="5AC05112">
      <w:pPr>
        <w:tabs>
          <w:tab w:val="left" w:pos="0"/>
        </w:tabs>
        <w:spacing w:line="360" w:lineRule="auto"/>
        <w:ind w:left="105" w:leftChars="50" w:firstLine="360" w:firstLineChars="150"/>
        <w:rPr>
          <w:rFonts w:hint="eastAsia" w:ascii="仿宋_GB2312" w:eastAsia="仿宋_GB2312"/>
          <w:color w:val="auto"/>
          <w:sz w:val="24"/>
          <w:szCs w:val="24"/>
        </w:rPr>
      </w:pPr>
      <w:r>
        <w:rPr>
          <w:rFonts w:hint="eastAsia" w:ascii="仿宋_GB2312" w:eastAsia="仿宋_GB2312"/>
          <w:color w:val="auto"/>
          <w:sz w:val="24"/>
          <w:szCs w:val="24"/>
        </w:rPr>
        <w:t>5.财务报表审计报告定稿及管理建议书（中文版）</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日之前完成。</w:t>
      </w:r>
    </w:p>
    <w:p w14:paraId="3587FF9D">
      <w:pPr>
        <w:tabs>
          <w:tab w:val="left" w:pos="0"/>
        </w:tabs>
        <w:spacing w:line="360" w:lineRule="auto"/>
        <w:ind w:left="105" w:leftChars="50" w:firstLine="360" w:firstLineChars="150"/>
        <w:rPr>
          <w:rFonts w:hint="eastAsia" w:ascii="仿宋_GB2312" w:eastAsia="仿宋_GB2312"/>
          <w:color w:val="auto"/>
          <w:sz w:val="24"/>
          <w:szCs w:val="24"/>
        </w:rPr>
      </w:pPr>
      <w:r>
        <w:rPr>
          <w:rFonts w:hint="eastAsia" w:ascii="仿宋_GB2312" w:eastAsia="仿宋_GB2312"/>
          <w:color w:val="auto"/>
          <w:sz w:val="24"/>
          <w:szCs w:val="24"/>
        </w:rPr>
        <w:t>6.财务报表审计报告定稿及管理建议书（中、英文版）</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日之前完成。</w:t>
      </w:r>
    </w:p>
    <w:p w14:paraId="66F9DDD2">
      <w:pPr>
        <w:tabs>
          <w:tab w:val="left" w:pos="0"/>
        </w:tabs>
        <w:spacing w:line="360" w:lineRule="auto"/>
        <w:ind w:left="105" w:leftChars="50" w:firstLine="360" w:firstLineChars="150"/>
        <w:rPr>
          <w:rFonts w:ascii="仿宋_GB2312" w:eastAsia="仿宋_GB2312"/>
          <w:color w:val="auto"/>
          <w:sz w:val="24"/>
          <w:szCs w:val="24"/>
        </w:rPr>
      </w:pPr>
      <w:r>
        <w:rPr>
          <w:rFonts w:hint="eastAsia" w:ascii="仿宋_GB2312" w:eastAsia="仿宋_GB2312"/>
          <w:color w:val="auto"/>
          <w:sz w:val="24"/>
          <w:szCs w:val="24"/>
        </w:rPr>
        <w:t>7.内部控制审计报告定稿（中、英文版）</w:t>
      </w:r>
      <w:r>
        <w:rPr>
          <w:rFonts w:hint="eastAsia" w:ascii="仿宋_GB2312" w:eastAsia="仿宋_GB2312"/>
          <w:color w:val="auto"/>
          <w:sz w:val="24"/>
          <w:szCs w:val="24"/>
          <w:u w:val="single"/>
        </w:rPr>
        <w:t>20</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年</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月</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日之前完成。</w:t>
      </w:r>
    </w:p>
    <w:p w14:paraId="79E33FAE">
      <w:pPr>
        <w:keepNext w:val="0"/>
        <w:keepLines w:val="0"/>
        <w:pageBreakBefore w:val="0"/>
        <w:widowControl w:val="0"/>
        <w:kinsoku/>
        <w:wordWrap/>
        <w:overflowPunct/>
        <w:topLinePunct w:val="0"/>
        <w:autoSpaceDE w:val="0"/>
        <w:autoSpaceDN w:val="0"/>
        <w:bidi w:val="0"/>
        <w:adjustRightInd w:val="0"/>
        <w:snapToGrid w:val="0"/>
        <w:spacing w:before="156" w:beforeLines="50" w:line="36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8.审计报告及管理建议书在甲方审计委员会会议审议时，乙方</w:t>
      </w:r>
      <w:r>
        <w:rPr>
          <w:rFonts w:hint="eastAsia" w:ascii="仿宋_GB2312" w:eastAsia="仿宋_GB2312"/>
          <w:color w:val="auto"/>
          <w:sz w:val="24"/>
          <w:szCs w:val="24"/>
          <w:lang w:val="en-US" w:eastAsia="zh-CN"/>
        </w:rPr>
        <w:t>按要求</w:t>
      </w:r>
      <w:r>
        <w:rPr>
          <w:rFonts w:hint="eastAsia" w:ascii="仿宋_GB2312" w:eastAsia="仿宋_GB2312"/>
          <w:color w:val="auto"/>
          <w:sz w:val="24"/>
          <w:szCs w:val="24"/>
        </w:rPr>
        <w:t>安排审计人员列席，并对会上提出的疑问进行解答。</w:t>
      </w:r>
    </w:p>
    <w:p w14:paraId="7F5EEF16">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（十四）除下列情况外，乙方应当对执行业务过程中知悉的甲方及被审计单位信息予以保密：</w:t>
      </w:r>
    </w:p>
    <w:p w14:paraId="6759991D">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1</w:t>
      </w:r>
      <w:r>
        <w:rPr>
          <w:rFonts w:ascii="仿宋_GB2312" w:eastAsia="仿宋_GB2312"/>
          <w:color w:val="auto"/>
          <w:sz w:val="24"/>
          <w:szCs w:val="24"/>
        </w:rPr>
        <w:t xml:space="preserve">. </w:t>
      </w:r>
      <w:r>
        <w:rPr>
          <w:rFonts w:hint="eastAsia" w:ascii="仿宋_GB2312" w:eastAsia="仿宋_GB2312"/>
          <w:color w:val="auto"/>
          <w:sz w:val="24"/>
          <w:szCs w:val="24"/>
        </w:rPr>
        <w:t>法律法规允许披露，并取得甲方及被审计单位的授权；</w:t>
      </w:r>
    </w:p>
    <w:p w14:paraId="0BA7CB7B">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2</w:t>
      </w:r>
      <w:r>
        <w:rPr>
          <w:rFonts w:ascii="仿宋_GB2312" w:eastAsia="仿宋_GB2312"/>
          <w:color w:val="auto"/>
          <w:sz w:val="24"/>
          <w:szCs w:val="24"/>
        </w:rPr>
        <w:t xml:space="preserve">. </w:t>
      </w:r>
      <w:r>
        <w:rPr>
          <w:rFonts w:hint="eastAsia" w:ascii="仿宋_GB2312" w:eastAsia="仿宋_GB2312"/>
          <w:color w:val="auto"/>
          <w:sz w:val="24"/>
          <w:szCs w:val="24"/>
        </w:rPr>
        <w:t>根据法律法规的要求，为法律诉讼、仲裁准备文件或提供证据，以及向监管机构报告发现的违法行为；</w:t>
      </w:r>
    </w:p>
    <w:p w14:paraId="15F4572A">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3</w:t>
      </w:r>
      <w:r>
        <w:rPr>
          <w:rFonts w:ascii="仿宋_GB2312" w:eastAsia="仿宋_GB2312"/>
          <w:color w:val="auto"/>
          <w:sz w:val="24"/>
          <w:szCs w:val="24"/>
        </w:rPr>
        <w:t xml:space="preserve">. </w:t>
      </w:r>
      <w:r>
        <w:rPr>
          <w:rFonts w:hint="eastAsia" w:ascii="仿宋_GB2312" w:eastAsia="仿宋_GB2312"/>
          <w:color w:val="auto"/>
          <w:sz w:val="24"/>
          <w:szCs w:val="24"/>
        </w:rPr>
        <w:t>在法律法规允许的情况下，在法律诉讼、仲裁中维护自己的合法权益；</w:t>
      </w:r>
    </w:p>
    <w:p w14:paraId="3EA6F29B">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4</w:t>
      </w:r>
      <w:r>
        <w:rPr>
          <w:rFonts w:ascii="仿宋_GB2312" w:eastAsia="仿宋_GB2312"/>
          <w:color w:val="auto"/>
          <w:sz w:val="24"/>
          <w:szCs w:val="24"/>
        </w:rPr>
        <w:t xml:space="preserve">. </w:t>
      </w:r>
      <w:r>
        <w:rPr>
          <w:rFonts w:hint="eastAsia" w:ascii="仿宋_GB2312" w:eastAsia="仿宋_GB2312"/>
          <w:color w:val="auto"/>
          <w:sz w:val="24"/>
          <w:szCs w:val="24"/>
        </w:rPr>
        <w:t>接受注册会计师协会或监管机构的执业质量检查，答复其询问和调查；</w:t>
      </w:r>
    </w:p>
    <w:p w14:paraId="5B3CB084">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5</w:t>
      </w:r>
      <w:r>
        <w:rPr>
          <w:rFonts w:ascii="仿宋_GB2312" w:eastAsia="仿宋_GB2312"/>
          <w:color w:val="auto"/>
          <w:sz w:val="24"/>
          <w:szCs w:val="24"/>
        </w:rPr>
        <w:t xml:space="preserve">. </w:t>
      </w:r>
      <w:r>
        <w:rPr>
          <w:rFonts w:hint="eastAsia" w:ascii="仿宋_GB2312" w:eastAsia="仿宋_GB2312"/>
          <w:color w:val="auto"/>
          <w:sz w:val="24"/>
          <w:szCs w:val="24"/>
        </w:rPr>
        <w:t>法律法规、执业准则和职业道德规范规定的其他情形。</w:t>
      </w:r>
    </w:p>
    <w:p w14:paraId="3FF33E4B">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（十五）</w:t>
      </w:r>
      <w:r>
        <w:rPr>
          <w:rFonts w:ascii="仿宋_GB2312" w:eastAsia="仿宋_GB2312"/>
          <w:color w:val="auto"/>
          <w:sz w:val="24"/>
          <w:szCs w:val="24"/>
        </w:rPr>
        <w:t>审计报告签发日之后，</w:t>
      </w:r>
      <w:r>
        <w:rPr>
          <w:rFonts w:hint="eastAsia" w:ascii="仿宋_GB2312" w:eastAsia="仿宋_GB2312"/>
          <w:color w:val="auto"/>
          <w:sz w:val="24"/>
          <w:szCs w:val="24"/>
        </w:rPr>
        <w:t>乙方无</w:t>
      </w:r>
      <w:r>
        <w:rPr>
          <w:rFonts w:ascii="仿宋_GB2312" w:eastAsia="仿宋_GB2312"/>
          <w:color w:val="auto"/>
          <w:sz w:val="24"/>
          <w:szCs w:val="24"/>
        </w:rPr>
        <w:t>直接责任去考虑或查明可能影响该期间的会计报表的期后事项。但是，</w:t>
      </w:r>
      <w:r>
        <w:rPr>
          <w:rFonts w:hint="eastAsia" w:ascii="仿宋_GB2312" w:eastAsia="仿宋_GB2312"/>
          <w:color w:val="auto"/>
          <w:sz w:val="24"/>
          <w:szCs w:val="24"/>
        </w:rPr>
        <w:t>甲方及被审计单位应</w:t>
      </w:r>
      <w:r>
        <w:rPr>
          <w:rFonts w:ascii="仿宋_GB2312" w:eastAsia="仿宋_GB2312"/>
          <w:color w:val="auto"/>
          <w:sz w:val="24"/>
          <w:szCs w:val="24"/>
        </w:rPr>
        <w:t>将在审计报告签发日之后可能影响会计报表的任何重大事项的发生或任何重大事实的发现</w:t>
      </w:r>
      <w:r>
        <w:rPr>
          <w:rFonts w:hint="eastAsia" w:ascii="仿宋_GB2312" w:eastAsia="仿宋_GB2312"/>
          <w:color w:val="auto"/>
          <w:sz w:val="24"/>
          <w:szCs w:val="24"/>
        </w:rPr>
        <w:t>及时</w:t>
      </w:r>
      <w:r>
        <w:rPr>
          <w:rFonts w:ascii="仿宋_GB2312" w:eastAsia="仿宋_GB2312"/>
          <w:color w:val="auto"/>
          <w:sz w:val="24"/>
          <w:szCs w:val="24"/>
        </w:rPr>
        <w:t>通知</w:t>
      </w:r>
      <w:r>
        <w:rPr>
          <w:rFonts w:hint="eastAsia" w:ascii="仿宋_GB2312" w:eastAsia="仿宋_GB2312"/>
          <w:color w:val="auto"/>
          <w:sz w:val="24"/>
          <w:szCs w:val="24"/>
        </w:rPr>
        <w:t>乙方。</w:t>
      </w:r>
    </w:p>
    <w:p w14:paraId="65879C2C">
      <w:pPr>
        <w:pStyle w:val="2"/>
        <w:rPr>
          <w:rFonts w:hint="eastAsia"/>
          <w:color w:val="auto"/>
        </w:rPr>
      </w:pPr>
      <w:r>
        <w:rPr>
          <w:rFonts w:hint="eastAsia"/>
          <w:color w:val="auto"/>
        </w:rPr>
        <w:t>四、审计收费</w:t>
      </w:r>
    </w:p>
    <w:p w14:paraId="09665D1A">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（一）本次审计服务的收费是以乙方各级别工作人员在本次工作中所耗费的时间为基础计算的。乙方预计本次审计服务的费用总额为（含税包干）为￥</w:t>
      </w:r>
      <w:r>
        <w:rPr>
          <w:rFonts w:hint="eastAsia" w:ascii="仿宋_GB2312" w:eastAsia="仿宋_GB2312"/>
          <w:color w:val="auto"/>
          <w:sz w:val="24"/>
          <w:szCs w:val="24"/>
          <w:u w:val="single"/>
        </w:rPr>
        <w:t xml:space="preserve"> </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 (大写：</w:t>
      </w:r>
      <w:r>
        <w:rPr>
          <w:rFonts w:hint="eastAsia" w:ascii="仿宋_GB2312" w:eastAsia="仿宋_GB2312"/>
          <w:color w:val="auto"/>
          <w:sz w:val="24"/>
          <w:szCs w:val="24"/>
          <w:u w:val="single"/>
        </w:rPr>
        <w:t>人民币</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元整)</w:t>
      </w:r>
      <w:r>
        <w:rPr>
          <w:rFonts w:hint="eastAsia" w:ascii="仿宋_GB2312" w:eastAsia="仿宋_GB2312"/>
          <w:color w:val="auto"/>
          <w:sz w:val="24"/>
          <w:szCs w:val="24"/>
          <w:lang w:eastAsia="zh-CN"/>
        </w:rPr>
        <w:t>，</w:t>
      </w:r>
      <w:r>
        <w:rPr>
          <w:rFonts w:hint="eastAsia" w:ascii="仿宋_GB2312" w:eastAsia="仿宋_GB2312"/>
          <w:color w:val="auto"/>
          <w:sz w:val="24"/>
          <w:szCs w:val="24"/>
        </w:rPr>
        <w:t>其中不含税金额为</w:t>
      </w:r>
      <w:r>
        <w:rPr>
          <w:rFonts w:hint="eastAsia" w:ascii="仿宋_GB2312" w:eastAsia="仿宋_GB2312"/>
          <w:color w:val="auto"/>
          <w:sz w:val="24"/>
          <w:szCs w:val="24"/>
          <w:lang w:val="en-US" w:eastAsia="zh-CN"/>
        </w:rPr>
        <w:t>￥</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元，增值税为￥</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元，增值税税率为</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w:t>
      </w:r>
    </w:p>
    <w:p w14:paraId="68AD20A7">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（二）服务费用共分</w:t>
      </w:r>
      <w:r>
        <w:rPr>
          <w:rFonts w:hint="eastAsia" w:ascii="仿宋_GB2312" w:eastAsia="仿宋_GB2312"/>
          <w:color w:val="auto"/>
          <w:sz w:val="24"/>
          <w:szCs w:val="24"/>
          <w:u w:val="single"/>
        </w:rPr>
        <w:t xml:space="preserve"> </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期，由甲方及被审计单位向乙方支付，具体如下：</w:t>
      </w:r>
    </w:p>
    <w:p w14:paraId="1C5FF770">
      <w:pPr>
        <w:tabs>
          <w:tab w:val="left" w:pos="0"/>
        </w:tabs>
        <w:spacing w:line="360" w:lineRule="auto"/>
        <w:ind w:firstLine="480" w:firstLineChars="200"/>
        <w:rPr>
          <w:rFonts w:hint="eastAsia" w:ascii="仿宋_GB2312" w:eastAsia="仿宋_GB2312"/>
          <w:color w:val="auto"/>
          <w:sz w:val="24"/>
          <w:szCs w:val="24"/>
        </w:rPr>
      </w:pPr>
      <w:r>
        <w:rPr>
          <w:rFonts w:ascii="仿宋_GB2312" w:eastAsia="仿宋_GB2312"/>
          <w:color w:val="auto"/>
          <w:sz w:val="24"/>
          <w:szCs w:val="24"/>
        </w:rPr>
        <w:t xml:space="preserve">1. </w:t>
      </w:r>
      <w:r>
        <w:rPr>
          <w:rFonts w:hint="eastAsia" w:ascii="仿宋_GB2312" w:eastAsia="仿宋_GB2312"/>
          <w:color w:val="auto"/>
          <w:sz w:val="24"/>
          <w:szCs w:val="24"/>
        </w:rPr>
        <w:t>第一期：甲方于中期现场审计工作完成后</w:t>
      </w:r>
      <w:r>
        <w:rPr>
          <w:rFonts w:hint="eastAsia" w:ascii="仿宋_GB2312" w:eastAsia="仿宋_GB2312"/>
          <w:color w:val="auto"/>
          <w:sz w:val="24"/>
          <w:szCs w:val="24"/>
          <w:u w:val="single"/>
        </w:rPr>
        <w:t>4</w:t>
      </w:r>
      <w:r>
        <w:rPr>
          <w:rFonts w:ascii="仿宋_GB2312" w:eastAsia="仿宋_GB2312"/>
          <w:color w:val="auto"/>
          <w:sz w:val="24"/>
          <w:szCs w:val="24"/>
          <w:u w:val="single"/>
        </w:rPr>
        <w:t>5</w:t>
      </w:r>
      <w:r>
        <w:rPr>
          <w:rFonts w:hint="eastAsia" w:ascii="仿宋_GB2312" w:eastAsia="仿宋_GB2312"/>
          <w:color w:val="auto"/>
          <w:sz w:val="24"/>
          <w:szCs w:val="24"/>
        </w:rPr>
        <w:t>日内支付服务费总额的</w:t>
      </w:r>
      <w:r>
        <w:rPr>
          <w:rFonts w:hint="eastAsia" w:ascii="仿宋_GB2312" w:eastAsia="仿宋_GB2312"/>
          <w:color w:val="auto"/>
          <w:sz w:val="24"/>
          <w:szCs w:val="24"/>
          <w:u w:val="single"/>
        </w:rPr>
        <w:t xml:space="preserve"> </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w:t>
      </w:r>
      <w:r>
        <w:rPr>
          <w:rFonts w:hint="eastAsia" w:ascii="仿宋_GB2312" w:eastAsia="仿宋_GB2312"/>
          <w:color w:val="auto"/>
          <w:sz w:val="24"/>
          <w:szCs w:val="24"/>
          <w:lang w:eastAsia="zh-CN"/>
        </w:rPr>
        <w:t>，</w:t>
      </w:r>
      <w:r>
        <w:rPr>
          <w:rFonts w:hint="eastAsia" w:ascii="仿宋_GB2312" w:eastAsia="仿宋_GB2312"/>
          <w:color w:val="auto"/>
          <w:sz w:val="24"/>
          <w:szCs w:val="24"/>
        </w:rPr>
        <w:t>即￥</w:t>
      </w:r>
      <w:r>
        <w:rPr>
          <w:rFonts w:hint="eastAsia" w:ascii="仿宋_GB2312" w:eastAsia="仿宋_GB2312"/>
          <w:color w:val="auto"/>
          <w:sz w:val="24"/>
          <w:szCs w:val="24"/>
          <w:u w:val="single"/>
        </w:rPr>
        <w:t xml:space="preserve"> </w:t>
      </w:r>
      <w:r>
        <w:rPr>
          <w:rFonts w:hint="eastAsia" w:ascii="仿宋_GB2312" w:eastAsia="仿宋_GB2312"/>
          <w:color w:val="auto"/>
          <w:sz w:val="24"/>
          <w:szCs w:val="24"/>
          <w:u w:val="single"/>
          <w:lang w:val="en-US" w:eastAsia="zh-CN"/>
        </w:rPr>
        <w:t xml:space="preserve">        </w:t>
      </w:r>
      <w:r>
        <w:rPr>
          <w:rFonts w:hint="eastAsia" w:ascii="仿宋_GB2312" w:eastAsia="仿宋_GB2312"/>
          <w:color w:val="auto"/>
          <w:sz w:val="24"/>
          <w:szCs w:val="24"/>
        </w:rPr>
        <w:t>元；</w:t>
      </w:r>
    </w:p>
    <w:p w14:paraId="5EB5FD25">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2.</w:t>
      </w:r>
      <w:r>
        <w:rPr>
          <w:rFonts w:ascii="仿宋_GB2312" w:eastAsia="仿宋_GB2312"/>
          <w:color w:val="auto"/>
          <w:sz w:val="24"/>
          <w:szCs w:val="24"/>
        </w:rPr>
        <w:t xml:space="preserve"> </w:t>
      </w:r>
      <w:r>
        <w:rPr>
          <w:rFonts w:hint="eastAsia" w:ascii="仿宋_GB2312" w:eastAsia="仿宋_GB2312"/>
          <w:color w:val="auto"/>
          <w:sz w:val="24"/>
          <w:szCs w:val="24"/>
        </w:rPr>
        <w:t>第二期：其余款项于提交正式审计报告之日起</w:t>
      </w:r>
      <w:r>
        <w:rPr>
          <w:rFonts w:hint="eastAsia" w:ascii="仿宋_GB2312" w:eastAsia="仿宋_GB2312"/>
          <w:color w:val="auto"/>
          <w:sz w:val="24"/>
          <w:szCs w:val="24"/>
          <w:u w:val="single"/>
        </w:rPr>
        <w:t xml:space="preserve"> 45</w:t>
      </w:r>
      <w:r>
        <w:rPr>
          <w:rFonts w:hint="eastAsia" w:ascii="仿宋_GB2312" w:eastAsia="仿宋_GB2312"/>
          <w:color w:val="auto"/>
          <w:sz w:val="24"/>
          <w:szCs w:val="24"/>
        </w:rPr>
        <w:t>日内完成支付</w:t>
      </w:r>
      <w:r>
        <w:rPr>
          <w:rFonts w:ascii="仿宋_GB2312" w:eastAsia="仿宋_GB2312"/>
          <w:color w:val="auto"/>
          <w:sz w:val="24"/>
          <w:szCs w:val="24"/>
        </w:rPr>
        <w:t>。</w:t>
      </w:r>
    </w:p>
    <w:p w14:paraId="38D3C318">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甲方及被审计单位按费用明细清单金额（详见附件2）向乙方支付，每次付款前，乙方按费用明细清单向各公司开具合法的等额增值税专用发票，甲方对甲方各级子公司按费用清单金额付款的责任承担连带责任。</w:t>
      </w:r>
    </w:p>
    <w:p w14:paraId="05C9849E">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如果由于非乙方所致的原因，致使乙方从事本约定书所涉及的服务实际时间较本约定书签订时预计的时间有明显的增加或减少时，甲、乙双方应通过协商，就相应调整本条第（一）款所约定的服务费用达成一致意见并签订补充协议。</w:t>
      </w:r>
    </w:p>
    <w:p w14:paraId="5884B42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（四）与</w:t>
      </w:r>
      <w:r>
        <w:rPr>
          <w:rFonts w:ascii="仿宋_GB2312" w:eastAsia="仿宋_GB2312"/>
          <w:color w:val="auto"/>
          <w:sz w:val="24"/>
          <w:szCs w:val="24"/>
        </w:rPr>
        <w:t>本</w:t>
      </w:r>
      <w:r>
        <w:rPr>
          <w:rFonts w:hint="eastAsia" w:ascii="仿宋_GB2312" w:eastAsia="仿宋_GB2312"/>
          <w:color w:val="auto"/>
          <w:sz w:val="24"/>
          <w:szCs w:val="24"/>
        </w:rPr>
        <w:t>次</w:t>
      </w:r>
      <w:r>
        <w:rPr>
          <w:rFonts w:ascii="仿宋_GB2312" w:eastAsia="仿宋_GB2312"/>
          <w:color w:val="auto"/>
          <w:sz w:val="24"/>
          <w:szCs w:val="24"/>
        </w:rPr>
        <w:t>审计</w:t>
      </w:r>
      <w:r>
        <w:rPr>
          <w:rFonts w:hint="eastAsia" w:ascii="仿宋_GB2312" w:eastAsia="仿宋_GB2312"/>
          <w:color w:val="auto"/>
          <w:sz w:val="24"/>
          <w:szCs w:val="24"/>
        </w:rPr>
        <w:t>有</w:t>
      </w:r>
      <w:r>
        <w:rPr>
          <w:rFonts w:ascii="仿宋_GB2312" w:eastAsia="仿宋_GB2312"/>
          <w:color w:val="auto"/>
          <w:sz w:val="24"/>
          <w:szCs w:val="24"/>
        </w:rPr>
        <w:t>关的向第三方询证的费用由</w:t>
      </w:r>
      <w:r>
        <w:rPr>
          <w:rFonts w:hint="eastAsia" w:ascii="仿宋_GB2312" w:eastAsia="仿宋_GB2312"/>
          <w:color w:val="auto"/>
          <w:sz w:val="24"/>
          <w:szCs w:val="24"/>
        </w:rPr>
        <w:t>甲方及被审计单位承担,其他费用（包括交通</w:t>
      </w:r>
      <w:r>
        <w:rPr>
          <w:rFonts w:ascii="仿宋_GB2312" w:eastAsia="仿宋_GB2312"/>
          <w:color w:val="auto"/>
          <w:sz w:val="24"/>
          <w:szCs w:val="24"/>
        </w:rPr>
        <w:t>费、食宿费</w:t>
      </w:r>
      <w:r>
        <w:rPr>
          <w:rFonts w:hint="eastAsia" w:ascii="仿宋_GB2312" w:eastAsia="仿宋_GB2312"/>
          <w:color w:val="auto"/>
          <w:sz w:val="24"/>
          <w:szCs w:val="24"/>
        </w:rPr>
        <w:t>等）</w:t>
      </w:r>
      <w:r>
        <w:rPr>
          <w:rFonts w:ascii="仿宋_GB2312" w:eastAsia="仿宋_GB2312"/>
          <w:color w:val="auto"/>
          <w:sz w:val="24"/>
          <w:szCs w:val="24"/>
        </w:rPr>
        <w:t>由</w:t>
      </w:r>
      <w:r>
        <w:rPr>
          <w:rFonts w:hint="eastAsia" w:ascii="仿宋_GB2312" w:eastAsia="仿宋_GB2312"/>
          <w:color w:val="auto"/>
          <w:sz w:val="24"/>
          <w:szCs w:val="24"/>
        </w:rPr>
        <w:t>乙方承担。</w:t>
      </w:r>
    </w:p>
    <w:p w14:paraId="79FD2AFD">
      <w:pPr>
        <w:pStyle w:val="2"/>
        <w:rPr>
          <w:rFonts w:hint="eastAsia"/>
          <w:color w:val="auto"/>
        </w:rPr>
      </w:pPr>
      <w:r>
        <w:rPr>
          <w:rFonts w:hint="eastAsia"/>
          <w:color w:val="auto"/>
        </w:rPr>
        <w:t xml:space="preserve">五、审计报告的使用 </w:t>
      </w:r>
    </w:p>
    <w:p w14:paraId="546D0734">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（一）乙方按照中国注册会计师审计准则规定的格式和类型出具审计报告。</w:t>
      </w:r>
    </w:p>
    <w:p w14:paraId="2103723E">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二）乙方向甲方交付合并财务报表审计报告及管理建议书中文版、英文版各一式五份，合并内部控制审计报告中文版、英文版各一式三份，甲方各级子公司审计报告一式三份。报告的交付方式为乙方邮寄至甲方住所，另需向甲方发送定稿报告的电子版。甲方签收乙方邮寄的审计报告，则视为甲方已领取审计报告。如乙方将审计报告寄送甲方指定地址之后甲方拒绝签收或在收到乙方寄达审计报告后五日内未签收，则视为甲方放弃领取审计报告，则审计报告签发日后五个工作日视为乙方已经完成交付，且完整履行本约定书项下的全部义务。且该等放弃不影响本协议第四条第二款乙方之权利的行使。</w:t>
      </w:r>
    </w:p>
    <w:p w14:paraId="46553C85">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三）甲方及被审计单位在提交或对外公布乙方出具的审计报告及其后附的已审计财务报表时，不得对其进行修改。当甲方及被审计单位认为有必要修改会计数据、报表附注和所作的说明时，应当事先通知乙方，乙方将考虑有关的修改对审计报告的影响，必要时，将重新出具审计报告，由此产生的费用由甲方及被审计单位另行支付。</w:t>
      </w:r>
    </w:p>
    <w:p w14:paraId="48C5ADDC">
      <w:pPr>
        <w:pStyle w:val="2"/>
        <w:keepNext w:val="0"/>
        <w:keepLines w:val="0"/>
        <w:pageBreakBefore w:val="0"/>
        <w:widowControl w:val="0"/>
        <w:kinsoku/>
        <w:wordWrap/>
        <w:overflowPunct/>
        <w:topLinePunct w:val="0"/>
        <w:autoSpaceDE/>
        <w:autoSpaceDN/>
        <w:bidi w:val="0"/>
        <w:adjustRightInd/>
        <w:snapToGrid/>
        <w:spacing w:before="79" w:beforeLines="25"/>
        <w:textAlignment w:val="auto"/>
        <w:rPr>
          <w:rFonts w:hint="eastAsia"/>
          <w:color w:val="auto"/>
        </w:rPr>
      </w:pPr>
      <w:r>
        <w:rPr>
          <w:rFonts w:hint="eastAsia"/>
          <w:color w:val="auto"/>
        </w:rPr>
        <w:t>六、本约定书的有效期间</w:t>
      </w:r>
    </w:p>
    <w:p w14:paraId="735C9E63">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（一）本约定书自甲、乙双方法定代表人或委托代理人签字/签章并加盖公章后生效，在双方履行完毕本约定书约定的所有义务后终止。</w:t>
      </w:r>
    </w:p>
    <w:p w14:paraId="4901520D">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（二）如甲、乙双方在本约定书中注明的合同签订日期不一致的：</w:t>
      </w:r>
    </w:p>
    <w:p w14:paraId="6F40891F">
      <w:pPr>
        <w:tabs>
          <w:tab w:val="left" w:pos="0"/>
        </w:tabs>
        <w:spacing w:line="360" w:lineRule="auto"/>
        <w:ind w:firstLine="480" w:firstLineChars="200"/>
        <w:rPr>
          <w:rFonts w:hint="eastAsia" w:ascii="仿宋_GB2312" w:eastAsia="仿宋_GB2312"/>
          <w:color w:val="auto"/>
          <w:sz w:val="24"/>
          <w:szCs w:val="24"/>
        </w:rPr>
      </w:pPr>
      <w:r>
        <w:rPr>
          <w:rFonts w:ascii="仿宋_GB2312" w:eastAsia="仿宋_GB2312"/>
          <w:color w:val="auto"/>
          <w:sz w:val="24"/>
          <w:szCs w:val="24"/>
        </w:rPr>
        <w:t xml:space="preserve">1. </w:t>
      </w:r>
      <w:r>
        <w:rPr>
          <w:rFonts w:hint="eastAsia" w:ascii="仿宋_GB2312" w:eastAsia="仿宋_GB2312"/>
          <w:color w:val="auto"/>
          <w:sz w:val="24"/>
          <w:szCs w:val="24"/>
        </w:rPr>
        <w:t>双方均注明有签订日期的，以日期在后的为生效日期；</w:t>
      </w:r>
    </w:p>
    <w:p w14:paraId="24B75534">
      <w:pPr>
        <w:tabs>
          <w:tab w:val="left" w:pos="0"/>
        </w:tabs>
        <w:spacing w:line="360" w:lineRule="auto"/>
        <w:ind w:firstLine="480" w:firstLineChars="200"/>
        <w:rPr>
          <w:rFonts w:hint="eastAsia" w:ascii="仿宋_GB2312" w:eastAsia="仿宋_GB2312"/>
          <w:color w:val="auto"/>
          <w:sz w:val="24"/>
          <w:szCs w:val="24"/>
        </w:rPr>
      </w:pPr>
      <w:r>
        <w:rPr>
          <w:rFonts w:ascii="仿宋_GB2312" w:eastAsia="仿宋_GB2312"/>
          <w:color w:val="auto"/>
          <w:sz w:val="24"/>
          <w:szCs w:val="24"/>
        </w:rPr>
        <w:t xml:space="preserve">2. </w:t>
      </w:r>
      <w:r>
        <w:rPr>
          <w:rFonts w:hint="eastAsia" w:ascii="仿宋_GB2312" w:eastAsia="仿宋_GB2312"/>
          <w:color w:val="auto"/>
          <w:sz w:val="24"/>
          <w:szCs w:val="24"/>
        </w:rPr>
        <w:t>一方未注明签订日期的，以已经注明的一方日期为生效日期；</w:t>
      </w:r>
    </w:p>
    <w:p w14:paraId="786F7100">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（三）如一方用章并交付对方后，另一方在15日内仍未完成用章并交付对方的，合同生效日期以在前的一方注明的日期为准。</w:t>
      </w:r>
    </w:p>
    <w:p w14:paraId="50247CEF">
      <w:pPr>
        <w:pStyle w:val="2"/>
        <w:keepNext w:val="0"/>
        <w:keepLines w:val="0"/>
        <w:pageBreakBefore w:val="0"/>
        <w:widowControl w:val="0"/>
        <w:kinsoku/>
        <w:wordWrap/>
        <w:overflowPunct/>
        <w:topLinePunct w:val="0"/>
        <w:autoSpaceDE/>
        <w:autoSpaceDN/>
        <w:bidi w:val="0"/>
        <w:adjustRightInd/>
        <w:snapToGrid/>
        <w:spacing w:before="79" w:beforeLines="25"/>
        <w:textAlignment w:val="auto"/>
        <w:rPr>
          <w:rFonts w:hint="eastAsia"/>
          <w:bCs/>
          <w:color w:val="auto"/>
        </w:rPr>
      </w:pPr>
      <w:r>
        <w:rPr>
          <w:rFonts w:hint="eastAsia"/>
          <w:color w:val="auto"/>
        </w:rPr>
        <w:t>七、约定事项的变更</w:t>
      </w:r>
    </w:p>
    <w:p w14:paraId="633B42E8">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如果出现不可预见的情况，影响审计工作如期完成，或需要提前出具审计报告，甲、乙双方均可要求变更约定事项，但应及时通知对方，并由双方协商解决。</w:t>
      </w:r>
    </w:p>
    <w:p w14:paraId="7B4A2929">
      <w:pPr>
        <w:pStyle w:val="2"/>
        <w:keepNext w:val="0"/>
        <w:keepLines w:val="0"/>
        <w:pageBreakBefore w:val="0"/>
        <w:widowControl w:val="0"/>
        <w:kinsoku/>
        <w:wordWrap/>
        <w:overflowPunct/>
        <w:topLinePunct w:val="0"/>
        <w:autoSpaceDE/>
        <w:autoSpaceDN/>
        <w:bidi w:val="0"/>
        <w:adjustRightInd/>
        <w:snapToGrid/>
        <w:spacing w:before="79" w:beforeLines="25"/>
        <w:textAlignment w:val="auto"/>
        <w:rPr>
          <w:rFonts w:hint="eastAsia"/>
          <w:color w:val="auto"/>
        </w:rPr>
      </w:pPr>
      <w:r>
        <w:rPr>
          <w:rFonts w:hint="eastAsia"/>
          <w:color w:val="auto"/>
        </w:rPr>
        <w:t>八、终止条款</w:t>
      </w:r>
    </w:p>
    <w:p w14:paraId="3981ECC8">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（一）如果根据乙方的职业道德及其他相关专业职责</w:t>
      </w:r>
      <w:r>
        <w:rPr>
          <w:rFonts w:ascii="仿宋_GB2312" w:eastAsia="仿宋_GB2312"/>
          <w:color w:val="auto"/>
          <w:sz w:val="24"/>
          <w:szCs w:val="24"/>
        </w:rPr>
        <w:t>、</w:t>
      </w:r>
      <w:r>
        <w:rPr>
          <w:rFonts w:hint="eastAsia" w:ascii="仿宋_GB2312" w:eastAsia="仿宋_GB2312"/>
          <w:color w:val="auto"/>
          <w:sz w:val="24"/>
          <w:szCs w:val="24"/>
        </w:rPr>
        <w:t>适用的法律法规或其他任何法定的要求，乙方认为已不适宜继续为甲方提供本约定书约定的审计服务，乙方可以采取向甲方提出合理通知的方式终止履行本约定书，已收取的咨询服务费不予退还且无需承担违约责任。</w:t>
      </w:r>
    </w:p>
    <w:p w14:paraId="7251D81F">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（二）无论何种原因导致本约定书解除或终止的，乙方已收取的费用均不予退还。此外，在本约定书解除或终止的情况下，乙方有权就其于终止之日前对约定的审计服务项目所做的工作收取合理的费用。</w:t>
      </w:r>
    </w:p>
    <w:p w14:paraId="30886EFB">
      <w:pPr>
        <w:tabs>
          <w:tab w:val="left" w:pos="0"/>
        </w:tabs>
        <w:spacing w:line="360" w:lineRule="auto"/>
        <w:rPr>
          <w:rFonts w:hint="eastAsia" w:ascii="仿宋_GB2312" w:eastAsia="仿宋_GB2312"/>
          <w:b/>
          <w:color w:val="auto"/>
          <w:sz w:val="24"/>
          <w:szCs w:val="24"/>
        </w:rPr>
      </w:pPr>
    </w:p>
    <w:p w14:paraId="2823FC46">
      <w:pPr>
        <w:pStyle w:val="2"/>
        <w:rPr>
          <w:rFonts w:hint="eastAsia"/>
          <w:bCs/>
          <w:color w:val="auto"/>
        </w:rPr>
      </w:pPr>
      <w:r>
        <w:rPr>
          <w:rFonts w:hint="eastAsia"/>
          <w:color w:val="auto"/>
        </w:rPr>
        <w:t xml:space="preserve">九、违约责任 </w:t>
      </w:r>
    </w:p>
    <w:p w14:paraId="6D238367">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（一）若甲方未按照合同约定及时足额支付款项，应当向乙方支付逾期利息。逾期利息=应付未付款总额×本约定书订立时1年期贷款市场报价利率×逾期支付天数（自逾期之日起计算）。</w:t>
      </w:r>
    </w:p>
    <w:p w14:paraId="26B8169C">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（二）甲方无合理理由逾期支付超过 90 日的，乙方有权解除本约定书，已经收取的款项不再退还，并有权要求甲方按照服务费总额的 30 %支付违约金，违约金不足以弥补损失的，乙方有权进一步追偿。</w:t>
      </w:r>
    </w:p>
    <w:p w14:paraId="620C8BCE">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（三）因乙方原因导致乙方未按照合同约定期限实施或完成任一阶段工作的，每逾期1日，应向甲方支付合同总额万分之二的违约金。乙方无合理理由连续逾期超过</w:t>
      </w:r>
      <w:r>
        <w:rPr>
          <w:rFonts w:hint="eastAsia" w:ascii="仿宋_GB2312" w:eastAsia="仿宋_GB2312"/>
          <w:color w:val="auto"/>
          <w:sz w:val="24"/>
          <w:szCs w:val="24"/>
          <w:highlight w:val="none"/>
        </w:rPr>
        <w:t xml:space="preserve"> 5日</w:t>
      </w:r>
      <w:r>
        <w:rPr>
          <w:rFonts w:hint="eastAsia" w:ascii="仿宋_GB2312" w:eastAsia="仿宋_GB2312"/>
          <w:color w:val="auto"/>
          <w:sz w:val="24"/>
          <w:szCs w:val="24"/>
        </w:rPr>
        <w:t xml:space="preserve">或累计超过20日的，甲方有权解除本约定书，并有权要求乙方按照服务费总额的 </w:t>
      </w:r>
      <w:r>
        <w:rPr>
          <w:rFonts w:ascii="仿宋_GB2312" w:eastAsia="仿宋_GB2312"/>
          <w:color w:val="auto"/>
          <w:sz w:val="24"/>
          <w:szCs w:val="24"/>
        </w:rPr>
        <w:t>30</w:t>
      </w:r>
      <w:r>
        <w:rPr>
          <w:rFonts w:hint="eastAsia" w:ascii="仿宋_GB2312" w:eastAsia="仿宋_GB2312"/>
          <w:color w:val="auto"/>
          <w:sz w:val="24"/>
          <w:szCs w:val="24"/>
        </w:rPr>
        <w:t>%支付违约金，违约金不足以弥补损失的，甲方有权进一步追偿。乙方已经收取的款项乙方应于收到合同解除通知之日起3日内以退还，否则应支付逾期利息，逾期利息=应付未付款总额×本约定书订立时1年期贷款市场报价利率×逾期支付天数（自逾期之日起计算）。</w:t>
      </w:r>
    </w:p>
    <w:p w14:paraId="4D60B7AC">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（四）其他违约情形，双方按照约定书约定及相关法律法规的规定承担违约责任。</w:t>
      </w:r>
    </w:p>
    <w:p w14:paraId="1728BAFB">
      <w:pPr>
        <w:tabs>
          <w:tab w:val="left" w:pos="0"/>
        </w:tabs>
        <w:spacing w:line="360" w:lineRule="auto"/>
        <w:ind w:firstLine="482" w:firstLineChars="200"/>
        <w:rPr>
          <w:rFonts w:hint="eastAsia" w:ascii="仿宋_GB2312" w:eastAsia="仿宋_GB2312"/>
          <w:b/>
          <w:color w:val="auto"/>
          <w:sz w:val="24"/>
          <w:szCs w:val="24"/>
        </w:rPr>
      </w:pPr>
    </w:p>
    <w:p w14:paraId="5F051020">
      <w:pPr>
        <w:pStyle w:val="2"/>
        <w:rPr>
          <w:rFonts w:hint="eastAsia"/>
          <w:bCs/>
          <w:color w:val="auto"/>
        </w:rPr>
      </w:pPr>
      <w:r>
        <w:rPr>
          <w:rFonts w:hint="eastAsia"/>
          <w:color w:val="auto"/>
        </w:rPr>
        <w:t>十、适用法律和争议解决</w:t>
      </w:r>
      <w:r>
        <w:rPr>
          <w:rFonts w:hint="eastAsia"/>
          <w:bCs/>
          <w:color w:val="auto"/>
        </w:rPr>
        <w:t xml:space="preserve"> </w:t>
      </w:r>
    </w:p>
    <w:p w14:paraId="4609C703">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本约定书的所有方面均应适用中华人民共和国法律进行解释并受其约束。本约定书履行地为乙方出具审计报告所在地，因本约定书引起的或与本约定书有关的任何纠纷或争议（包括关于本约定书条款的存在、效力或终止，或无效之后果），双方协商确定采取以下第</w:t>
      </w:r>
      <w:r>
        <w:rPr>
          <w:rFonts w:hint="eastAsia" w:ascii="仿宋_GB2312" w:eastAsia="仿宋_GB2312"/>
          <w:color w:val="auto"/>
          <w:sz w:val="24"/>
          <w:szCs w:val="24"/>
          <w:u w:val="single"/>
        </w:rPr>
        <w:t>（一）</w:t>
      </w:r>
      <w:r>
        <w:rPr>
          <w:rFonts w:hint="eastAsia" w:ascii="仿宋_GB2312" w:eastAsia="仿宋_GB2312"/>
          <w:color w:val="auto"/>
          <w:sz w:val="24"/>
          <w:szCs w:val="24"/>
        </w:rPr>
        <w:t>种解决方式：</w:t>
      </w:r>
    </w:p>
    <w:p w14:paraId="5511EF1F">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（一）向甲方所在地人民法院提起诉讼；</w:t>
      </w:r>
    </w:p>
    <w:p w14:paraId="24523CD1">
      <w:pPr>
        <w:tabs>
          <w:tab w:val="left" w:pos="0"/>
        </w:tabs>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（二）提交</w:t>
      </w:r>
      <w:r>
        <w:rPr>
          <w:rFonts w:hint="eastAsia" w:ascii="仿宋_GB2312" w:eastAsia="仿宋_GB2312"/>
          <w:color w:val="auto"/>
          <w:sz w:val="24"/>
          <w:szCs w:val="24"/>
          <w:lang w:val="en-US" w:eastAsia="zh-CN"/>
        </w:rPr>
        <w:t>甲方当地</w:t>
      </w:r>
      <w:r>
        <w:rPr>
          <w:rFonts w:hint="eastAsia" w:ascii="仿宋_GB2312" w:eastAsia="仿宋_GB2312"/>
          <w:color w:val="auto"/>
          <w:sz w:val="24"/>
          <w:szCs w:val="24"/>
        </w:rPr>
        <w:t>仲裁委员会仲裁。</w:t>
      </w:r>
    </w:p>
    <w:p w14:paraId="27DEEB1C">
      <w:pPr>
        <w:tabs>
          <w:tab w:val="left" w:pos="0"/>
        </w:tabs>
        <w:spacing w:line="360" w:lineRule="auto"/>
        <w:ind w:firstLine="480" w:firstLineChars="200"/>
        <w:rPr>
          <w:rFonts w:hint="eastAsia" w:ascii="仿宋_GB2312" w:eastAsia="仿宋_GB2312"/>
          <w:color w:val="auto"/>
          <w:sz w:val="24"/>
          <w:szCs w:val="24"/>
        </w:rPr>
      </w:pPr>
    </w:p>
    <w:p w14:paraId="43327CCF">
      <w:pPr>
        <w:pStyle w:val="2"/>
        <w:rPr>
          <w:rFonts w:hint="eastAsia"/>
          <w:color w:val="auto"/>
        </w:rPr>
      </w:pPr>
      <w:r>
        <w:rPr>
          <w:rFonts w:hint="eastAsia"/>
          <w:color w:val="auto"/>
        </w:rPr>
        <w:t>十一、双方对其他有关事项的约定</w:t>
      </w:r>
    </w:p>
    <w:p w14:paraId="1598A983">
      <w:pPr>
        <w:tabs>
          <w:tab w:val="left" w:pos="0"/>
        </w:tabs>
        <w:spacing w:line="360" w:lineRule="auto"/>
        <w:ind w:firstLine="480" w:firstLineChars="200"/>
        <w:rPr>
          <w:rFonts w:hint="eastAsia" w:ascii="仿宋_GB2312" w:eastAsia="仿宋_GB2312"/>
          <w:color w:val="auto"/>
          <w:sz w:val="24"/>
          <w:szCs w:val="24"/>
        </w:rPr>
      </w:pPr>
      <w:r>
        <w:rPr>
          <w:rFonts w:hint="eastAsia" w:ascii="仿宋_GB2312" w:eastAsia="仿宋_GB2312"/>
          <w:color w:val="auto"/>
          <w:sz w:val="24"/>
          <w:szCs w:val="24"/>
        </w:rPr>
        <w:t>1.</w:t>
      </w:r>
      <w:r>
        <w:rPr>
          <w:rFonts w:ascii="仿宋_GB2312" w:eastAsia="仿宋_GB2312"/>
          <w:color w:val="auto"/>
          <w:sz w:val="24"/>
          <w:szCs w:val="24"/>
        </w:rPr>
        <w:t xml:space="preserve"> </w:t>
      </w:r>
      <w:r>
        <w:rPr>
          <w:rFonts w:hint="eastAsia" w:ascii="仿宋_GB2312" w:eastAsia="仿宋_GB2312"/>
          <w:color w:val="auto"/>
          <w:sz w:val="24"/>
          <w:szCs w:val="24"/>
        </w:rPr>
        <w:t>本约定书一式</w:t>
      </w:r>
      <w:r>
        <w:rPr>
          <w:rFonts w:hint="eastAsia" w:ascii="仿宋_GB2312" w:eastAsia="仿宋_GB2312"/>
          <w:color w:val="auto"/>
          <w:sz w:val="24"/>
          <w:szCs w:val="24"/>
          <w:u w:val="single"/>
        </w:rPr>
        <w:t>肆</w:t>
      </w:r>
      <w:r>
        <w:rPr>
          <w:rFonts w:hint="eastAsia" w:ascii="仿宋_GB2312" w:eastAsia="仿宋_GB2312"/>
          <w:color w:val="auto"/>
          <w:sz w:val="24"/>
          <w:szCs w:val="24"/>
        </w:rPr>
        <w:t>份，甲、乙双方各执</w:t>
      </w:r>
      <w:r>
        <w:rPr>
          <w:rFonts w:hint="eastAsia" w:ascii="仿宋_GB2312" w:eastAsia="仿宋_GB2312"/>
          <w:color w:val="auto"/>
          <w:sz w:val="24"/>
          <w:szCs w:val="24"/>
          <w:u w:val="single"/>
        </w:rPr>
        <w:t>贰</w:t>
      </w:r>
      <w:r>
        <w:rPr>
          <w:rFonts w:hint="eastAsia" w:ascii="仿宋_GB2312" w:eastAsia="仿宋_GB2312"/>
          <w:color w:val="auto"/>
          <w:sz w:val="24"/>
          <w:szCs w:val="24"/>
        </w:rPr>
        <w:t>份，具有同等法律效力。</w:t>
      </w:r>
    </w:p>
    <w:p w14:paraId="7E6936BC">
      <w:pPr>
        <w:keepNext w:val="0"/>
        <w:keepLines w:val="0"/>
        <w:pageBreakBefore w:val="0"/>
        <w:widowControl w:val="0"/>
        <w:kinsoku/>
        <w:wordWrap/>
        <w:overflowPunct/>
        <w:topLinePunct w:val="0"/>
        <w:autoSpaceDE w:val="0"/>
        <w:autoSpaceDN w:val="0"/>
        <w:bidi w:val="0"/>
        <w:adjustRightInd/>
        <w:snapToGrid/>
        <w:spacing w:after="157" w:afterLines="50" w:line="36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2.</w:t>
      </w:r>
      <w:r>
        <w:rPr>
          <w:rFonts w:ascii="仿宋_GB2312" w:eastAsia="仿宋_GB2312"/>
          <w:color w:val="auto"/>
          <w:sz w:val="24"/>
          <w:szCs w:val="24"/>
        </w:rPr>
        <w:t xml:space="preserve"> </w:t>
      </w:r>
      <w:r>
        <w:rPr>
          <w:rFonts w:hint="eastAsia" w:ascii="仿宋_GB2312" w:eastAsia="仿宋_GB2312"/>
          <w:color w:val="auto"/>
          <w:sz w:val="24"/>
          <w:szCs w:val="24"/>
        </w:rPr>
        <w:t>本业务约定书的通知均应当使用专人递交、挂号信或电子邮箱的方式发送至对方。如该通知以口头方式发出，应尽快在合理的时间内以书面形式向对方确认。如果一方联系地址改变，则应当尽快书面通知对方；如未及时通知，对方按照原定的通信联络方式发送通知，通知视为送达对方，由此造成的损失由变更方承担。双方的通讯联络方式如下：</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3"/>
        <w:gridCol w:w="3110"/>
        <w:gridCol w:w="3072"/>
      </w:tblGrid>
      <w:tr w14:paraId="349F2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323" w:type="dxa"/>
            <w:noWrap w:val="0"/>
            <w:vAlign w:val="center"/>
          </w:tcPr>
          <w:p w14:paraId="38C1EA41">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通讯联络方式</w:t>
            </w:r>
          </w:p>
        </w:tc>
        <w:tc>
          <w:tcPr>
            <w:tcW w:w="3110" w:type="dxa"/>
            <w:noWrap w:val="0"/>
            <w:vAlign w:val="center"/>
          </w:tcPr>
          <w:p w14:paraId="2C6B6FD7">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甲方</w:t>
            </w:r>
          </w:p>
        </w:tc>
        <w:tc>
          <w:tcPr>
            <w:tcW w:w="3072" w:type="dxa"/>
            <w:noWrap w:val="0"/>
            <w:vAlign w:val="center"/>
          </w:tcPr>
          <w:p w14:paraId="6EC7ABD9">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乙方</w:t>
            </w:r>
          </w:p>
        </w:tc>
      </w:tr>
      <w:tr w14:paraId="2C06E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323" w:type="dxa"/>
            <w:noWrap w:val="0"/>
            <w:vAlign w:val="center"/>
          </w:tcPr>
          <w:p w14:paraId="4422C402">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联络人</w:t>
            </w:r>
          </w:p>
        </w:tc>
        <w:tc>
          <w:tcPr>
            <w:tcW w:w="3110" w:type="dxa"/>
            <w:noWrap w:val="0"/>
            <w:vAlign w:val="center"/>
          </w:tcPr>
          <w:p w14:paraId="447F78AA">
            <w:pPr>
              <w:tabs>
                <w:tab w:val="left" w:pos="0"/>
              </w:tabs>
              <w:spacing w:line="360" w:lineRule="auto"/>
              <w:jc w:val="center"/>
              <w:rPr>
                <w:rFonts w:hint="eastAsia" w:ascii="仿宋_GB2312" w:eastAsia="仿宋_GB2312"/>
                <w:color w:val="auto"/>
                <w:sz w:val="24"/>
                <w:szCs w:val="24"/>
                <w:lang w:eastAsia="zh-CN"/>
              </w:rPr>
            </w:pPr>
            <w:r>
              <w:rPr>
                <w:rFonts w:hint="eastAsia" w:ascii="仿宋_GB2312" w:eastAsia="仿宋_GB2312"/>
                <w:color w:val="auto"/>
                <w:sz w:val="24"/>
                <w:szCs w:val="24"/>
                <w:lang w:val="en-US" w:eastAsia="zh-CN"/>
              </w:rPr>
              <w:t xml:space="preserve"> </w:t>
            </w:r>
          </w:p>
        </w:tc>
        <w:tc>
          <w:tcPr>
            <w:tcW w:w="3072" w:type="dxa"/>
            <w:noWrap w:val="0"/>
            <w:vAlign w:val="center"/>
          </w:tcPr>
          <w:p w14:paraId="41B5ACA6">
            <w:pPr>
              <w:tabs>
                <w:tab w:val="left" w:pos="0"/>
              </w:tabs>
              <w:spacing w:line="360" w:lineRule="auto"/>
              <w:jc w:val="center"/>
              <w:rPr>
                <w:rFonts w:hint="eastAsia" w:ascii="仿宋_GB2312" w:eastAsia="仿宋_GB2312"/>
                <w:color w:val="auto"/>
                <w:sz w:val="24"/>
                <w:szCs w:val="24"/>
                <w:lang w:eastAsia="zh-CN"/>
              </w:rPr>
            </w:pPr>
            <w:r>
              <w:rPr>
                <w:rFonts w:hint="eastAsia" w:ascii="仿宋_GB2312" w:eastAsia="仿宋_GB2312"/>
                <w:color w:val="auto"/>
                <w:sz w:val="24"/>
                <w:szCs w:val="24"/>
                <w:lang w:eastAsia="zh-CN"/>
              </w:rPr>
              <w:t xml:space="preserve"> </w:t>
            </w:r>
          </w:p>
        </w:tc>
      </w:tr>
      <w:tr w14:paraId="73EBB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323" w:type="dxa"/>
            <w:noWrap w:val="0"/>
            <w:vAlign w:val="center"/>
          </w:tcPr>
          <w:p w14:paraId="3BECC042">
            <w:pPr>
              <w:tabs>
                <w:tab w:val="left" w:pos="0"/>
              </w:tabs>
              <w:spacing w:line="360" w:lineRule="auto"/>
              <w:jc w:val="center"/>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联系电话</w:t>
            </w:r>
          </w:p>
        </w:tc>
        <w:tc>
          <w:tcPr>
            <w:tcW w:w="3110" w:type="dxa"/>
            <w:noWrap w:val="0"/>
            <w:vAlign w:val="center"/>
          </w:tcPr>
          <w:p w14:paraId="109685FA">
            <w:pPr>
              <w:tabs>
                <w:tab w:val="left" w:pos="0"/>
              </w:tabs>
              <w:spacing w:line="360" w:lineRule="auto"/>
              <w:jc w:val="center"/>
              <w:rPr>
                <w:rFonts w:ascii="仿宋_GB2312" w:eastAsia="仿宋_GB2312"/>
                <w:color w:val="auto"/>
                <w:sz w:val="24"/>
                <w:szCs w:val="24"/>
              </w:rPr>
            </w:pPr>
          </w:p>
        </w:tc>
        <w:tc>
          <w:tcPr>
            <w:tcW w:w="3072" w:type="dxa"/>
            <w:noWrap w:val="0"/>
            <w:vAlign w:val="center"/>
          </w:tcPr>
          <w:p w14:paraId="6CD0AAE2">
            <w:pPr>
              <w:tabs>
                <w:tab w:val="left" w:pos="0"/>
              </w:tabs>
              <w:spacing w:line="360" w:lineRule="auto"/>
              <w:jc w:val="center"/>
              <w:rPr>
                <w:rFonts w:hint="eastAsia" w:ascii="仿宋_GB2312" w:eastAsia="仿宋_GB2312"/>
                <w:color w:val="auto"/>
                <w:sz w:val="24"/>
                <w:szCs w:val="24"/>
              </w:rPr>
            </w:pPr>
          </w:p>
        </w:tc>
      </w:tr>
      <w:tr w14:paraId="6AD2A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323" w:type="dxa"/>
            <w:noWrap w:val="0"/>
            <w:vAlign w:val="center"/>
          </w:tcPr>
          <w:p w14:paraId="6DFA0A45">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电子邮箱</w:t>
            </w:r>
          </w:p>
        </w:tc>
        <w:tc>
          <w:tcPr>
            <w:tcW w:w="3110" w:type="dxa"/>
            <w:noWrap w:val="0"/>
            <w:vAlign w:val="center"/>
          </w:tcPr>
          <w:p w14:paraId="56F1DC52">
            <w:pPr>
              <w:tabs>
                <w:tab w:val="left" w:pos="0"/>
              </w:tabs>
              <w:spacing w:line="360" w:lineRule="auto"/>
              <w:jc w:val="center"/>
              <w:rPr>
                <w:rFonts w:ascii="仿宋_GB2312" w:eastAsia="仿宋_GB2312"/>
                <w:color w:val="auto"/>
                <w:sz w:val="24"/>
                <w:szCs w:val="24"/>
              </w:rPr>
            </w:pPr>
            <w:r>
              <w:rPr>
                <w:rFonts w:hint="eastAsia" w:ascii="仿宋_GB2312" w:eastAsia="仿宋_GB2312"/>
                <w:color w:val="auto"/>
                <w:sz w:val="24"/>
                <w:szCs w:val="24"/>
                <w:lang w:val="en-US" w:eastAsia="zh-CN"/>
              </w:rPr>
              <w:t xml:space="preserve"> </w:t>
            </w:r>
            <w:r>
              <w:rPr>
                <w:rFonts w:hint="eastAsia" w:ascii="仿宋_GB2312" w:eastAsia="仿宋_GB2312"/>
                <w:color w:val="auto"/>
                <w:sz w:val="24"/>
                <w:szCs w:val="24"/>
              </w:rPr>
              <w:t>@cmqip.com.cn</w:t>
            </w:r>
          </w:p>
        </w:tc>
        <w:tc>
          <w:tcPr>
            <w:tcW w:w="3072" w:type="dxa"/>
            <w:noWrap w:val="0"/>
            <w:vAlign w:val="center"/>
          </w:tcPr>
          <w:p w14:paraId="5F1968A7">
            <w:pPr>
              <w:tabs>
                <w:tab w:val="left" w:pos="0"/>
              </w:tabs>
              <w:spacing w:line="360" w:lineRule="auto"/>
              <w:jc w:val="center"/>
              <w:rPr>
                <w:rFonts w:hint="default" w:ascii="仿宋_GB2312" w:eastAsia="仿宋_GB2312"/>
                <w:color w:val="auto"/>
                <w:sz w:val="24"/>
                <w:szCs w:val="24"/>
                <w:lang w:val="en-US"/>
              </w:rPr>
            </w:pPr>
          </w:p>
        </w:tc>
      </w:tr>
      <w:tr w14:paraId="41BA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323" w:type="dxa"/>
            <w:noWrap w:val="0"/>
            <w:vAlign w:val="center"/>
          </w:tcPr>
          <w:p w14:paraId="51E5AA71">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地址</w:t>
            </w:r>
          </w:p>
        </w:tc>
        <w:tc>
          <w:tcPr>
            <w:tcW w:w="3110" w:type="dxa"/>
            <w:noWrap w:val="0"/>
            <w:vAlign w:val="center"/>
          </w:tcPr>
          <w:p w14:paraId="58270AC9">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广西钦州市中马钦州产业园区友谊大道88号中马广场5号写字楼19层</w:t>
            </w:r>
          </w:p>
        </w:tc>
        <w:tc>
          <w:tcPr>
            <w:tcW w:w="3072" w:type="dxa"/>
            <w:noWrap w:val="0"/>
            <w:vAlign w:val="center"/>
          </w:tcPr>
          <w:p w14:paraId="16CBDE9B">
            <w:pPr>
              <w:tabs>
                <w:tab w:val="left" w:pos="0"/>
              </w:tabs>
              <w:spacing w:line="360" w:lineRule="auto"/>
              <w:jc w:val="center"/>
              <w:rPr>
                <w:rFonts w:hint="eastAsia" w:ascii="仿宋_GB2312" w:eastAsia="仿宋_GB2312"/>
                <w:color w:val="auto"/>
                <w:sz w:val="24"/>
                <w:szCs w:val="24"/>
                <w:lang w:val="en-US" w:eastAsia="zh-CN"/>
              </w:rPr>
            </w:pPr>
            <w:r>
              <w:rPr>
                <w:rFonts w:hint="eastAsia" w:ascii="仿宋" w:hAnsi="仿宋" w:eastAsia="仿宋"/>
                <w:color w:val="auto"/>
                <w:sz w:val="24"/>
                <w:szCs w:val="24"/>
                <w:lang w:val="en-US" w:eastAsia="zh-CN"/>
              </w:rPr>
              <w:t xml:space="preserve"> </w:t>
            </w:r>
          </w:p>
        </w:tc>
      </w:tr>
    </w:tbl>
    <w:p w14:paraId="4E3F1C08">
      <w:pPr>
        <w:keepNext w:val="0"/>
        <w:keepLines w:val="0"/>
        <w:pageBreakBefore w:val="0"/>
        <w:widowControl w:val="0"/>
        <w:tabs>
          <w:tab w:val="left" w:pos="0"/>
        </w:tabs>
        <w:kinsoku/>
        <w:wordWrap/>
        <w:overflowPunct/>
        <w:topLinePunct w:val="0"/>
        <w:autoSpaceDE/>
        <w:autoSpaceDN/>
        <w:bidi w:val="0"/>
        <w:adjustRightInd/>
        <w:snapToGrid/>
        <w:spacing w:before="157" w:beforeLines="50" w:line="360" w:lineRule="auto"/>
        <w:jc w:val="center"/>
        <w:textAlignment w:val="auto"/>
        <w:rPr>
          <w:rFonts w:hint="eastAsia" w:ascii="仿宋_GB2312" w:eastAsia="仿宋_GB2312"/>
          <w:color w:val="auto"/>
          <w:sz w:val="24"/>
          <w:szCs w:val="24"/>
        </w:rPr>
      </w:pPr>
      <w:r>
        <w:rPr>
          <w:rFonts w:hint="eastAsia" w:ascii="仿宋_GB2312" w:eastAsia="仿宋_GB2312"/>
          <w:color w:val="auto"/>
          <w:sz w:val="24"/>
          <w:szCs w:val="24"/>
        </w:rPr>
        <w:t>3、双方同意下列银行账户和纳税信息作为收款和付款以及发票之用：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3"/>
        <w:gridCol w:w="3060"/>
        <w:gridCol w:w="3132"/>
      </w:tblGrid>
      <w:tr w14:paraId="3FB7D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3" w:type="dxa"/>
            <w:noWrap w:val="0"/>
            <w:vAlign w:val="center"/>
          </w:tcPr>
          <w:p w14:paraId="45836116">
            <w:pPr>
              <w:tabs>
                <w:tab w:val="left" w:pos="0"/>
              </w:tabs>
              <w:spacing w:line="360" w:lineRule="auto"/>
              <w:jc w:val="center"/>
              <w:rPr>
                <w:rFonts w:hint="eastAsia" w:ascii="仿宋_GB2312" w:eastAsia="仿宋_GB2312"/>
                <w:color w:val="auto"/>
                <w:sz w:val="24"/>
                <w:szCs w:val="24"/>
              </w:rPr>
            </w:pPr>
          </w:p>
        </w:tc>
        <w:tc>
          <w:tcPr>
            <w:tcW w:w="3060" w:type="dxa"/>
            <w:noWrap w:val="0"/>
            <w:vAlign w:val="center"/>
          </w:tcPr>
          <w:p w14:paraId="7305D444">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甲方</w:t>
            </w:r>
          </w:p>
        </w:tc>
        <w:tc>
          <w:tcPr>
            <w:tcW w:w="3132" w:type="dxa"/>
            <w:noWrap w:val="0"/>
            <w:vAlign w:val="center"/>
          </w:tcPr>
          <w:p w14:paraId="028E21A9">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乙方</w:t>
            </w:r>
          </w:p>
        </w:tc>
      </w:tr>
      <w:tr w14:paraId="57F08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3" w:type="dxa"/>
            <w:noWrap w:val="0"/>
            <w:vAlign w:val="center"/>
          </w:tcPr>
          <w:p w14:paraId="25E183EC">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企业名称</w:t>
            </w:r>
          </w:p>
        </w:tc>
        <w:tc>
          <w:tcPr>
            <w:tcW w:w="3060" w:type="dxa"/>
            <w:noWrap w:val="0"/>
            <w:vAlign w:val="center"/>
          </w:tcPr>
          <w:p w14:paraId="298377C1">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广西中马钦州产业园区开发有限公司</w:t>
            </w:r>
          </w:p>
        </w:tc>
        <w:tc>
          <w:tcPr>
            <w:tcW w:w="3132" w:type="dxa"/>
            <w:noWrap w:val="0"/>
            <w:vAlign w:val="center"/>
          </w:tcPr>
          <w:p w14:paraId="60A8CC68">
            <w:pPr>
              <w:tabs>
                <w:tab w:val="left" w:pos="0"/>
              </w:tabs>
              <w:spacing w:line="360" w:lineRule="auto"/>
              <w:jc w:val="center"/>
              <w:rPr>
                <w:rFonts w:hint="eastAsia" w:ascii="仿宋_GB2312" w:eastAsia="仿宋_GB2312"/>
                <w:color w:val="auto"/>
                <w:sz w:val="24"/>
                <w:szCs w:val="24"/>
                <w:lang w:val="en-US" w:eastAsia="zh-CN"/>
              </w:rPr>
            </w:pPr>
            <w:r>
              <w:rPr>
                <w:rFonts w:hint="eastAsia" w:ascii="仿宋_GB2312" w:eastAsia="仿宋_GB2312"/>
                <w:color w:val="auto"/>
                <w:sz w:val="24"/>
                <w:szCs w:val="24"/>
                <w:lang w:val="en-US" w:eastAsia="zh-CN"/>
              </w:rPr>
              <w:t xml:space="preserve"> </w:t>
            </w:r>
          </w:p>
        </w:tc>
      </w:tr>
      <w:tr w14:paraId="2C20A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3" w:type="dxa"/>
            <w:noWrap w:val="0"/>
            <w:vAlign w:val="center"/>
          </w:tcPr>
          <w:p w14:paraId="7EF568AF">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开户行</w:t>
            </w:r>
          </w:p>
        </w:tc>
        <w:tc>
          <w:tcPr>
            <w:tcW w:w="3060" w:type="dxa"/>
            <w:noWrap w:val="0"/>
            <w:vAlign w:val="center"/>
          </w:tcPr>
          <w:p w14:paraId="43ABCC8B">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中国建设银行股份有限公司钦州港区支行</w:t>
            </w:r>
          </w:p>
        </w:tc>
        <w:tc>
          <w:tcPr>
            <w:tcW w:w="3132" w:type="dxa"/>
            <w:noWrap w:val="0"/>
            <w:vAlign w:val="center"/>
          </w:tcPr>
          <w:p w14:paraId="2F2078D7">
            <w:pPr>
              <w:tabs>
                <w:tab w:val="left" w:pos="0"/>
              </w:tabs>
              <w:spacing w:line="360" w:lineRule="auto"/>
              <w:jc w:val="center"/>
              <w:rPr>
                <w:rFonts w:hint="eastAsia" w:ascii="仿宋_GB2312" w:eastAsia="仿宋_GB2312"/>
                <w:color w:val="auto"/>
                <w:sz w:val="24"/>
                <w:szCs w:val="24"/>
                <w:lang w:eastAsia="zh-CN"/>
              </w:rPr>
            </w:pPr>
            <w:r>
              <w:rPr>
                <w:rFonts w:hint="eastAsia" w:ascii="仿宋_GB2312" w:eastAsia="仿宋_GB2312"/>
                <w:color w:val="auto"/>
                <w:sz w:val="24"/>
                <w:szCs w:val="24"/>
                <w:lang w:eastAsia="zh-CN"/>
              </w:rPr>
              <w:t xml:space="preserve"> </w:t>
            </w:r>
          </w:p>
        </w:tc>
      </w:tr>
      <w:tr w14:paraId="668CB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3" w:type="dxa"/>
            <w:noWrap w:val="0"/>
            <w:vAlign w:val="center"/>
          </w:tcPr>
          <w:p w14:paraId="5C27B93C">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账号</w:t>
            </w:r>
          </w:p>
        </w:tc>
        <w:tc>
          <w:tcPr>
            <w:tcW w:w="3060" w:type="dxa"/>
            <w:noWrap w:val="0"/>
            <w:vAlign w:val="center"/>
          </w:tcPr>
          <w:p w14:paraId="2C2861E1">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45001659851059118168</w:t>
            </w:r>
          </w:p>
        </w:tc>
        <w:tc>
          <w:tcPr>
            <w:tcW w:w="3132" w:type="dxa"/>
            <w:noWrap w:val="0"/>
            <w:vAlign w:val="center"/>
          </w:tcPr>
          <w:p w14:paraId="2B3F440E">
            <w:pPr>
              <w:tabs>
                <w:tab w:val="left" w:pos="0"/>
              </w:tabs>
              <w:spacing w:line="360" w:lineRule="auto"/>
              <w:jc w:val="center"/>
              <w:rPr>
                <w:rFonts w:hint="eastAsia" w:ascii="仿宋_GB2312" w:eastAsia="仿宋_GB2312"/>
                <w:color w:val="auto"/>
                <w:sz w:val="24"/>
                <w:szCs w:val="24"/>
                <w:lang w:eastAsia="zh-CN"/>
              </w:rPr>
            </w:pPr>
            <w:r>
              <w:rPr>
                <w:rFonts w:hint="eastAsia" w:ascii="仿宋" w:hAnsi="仿宋" w:eastAsia="仿宋"/>
                <w:color w:val="auto"/>
                <w:sz w:val="24"/>
                <w:lang w:eastAsia="zh-CN"/>
              </w:rPr>
              <w:t xml:space="preserve"> </w:t>
            </w:r>
          </w:p>
        </w:tc>
      </w:tr>
      <w:tr w14:paraId="202DA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3" w:type="dxa"/>
            <w:noWrap w:val="0"/>
            <w:vAlign w:val="center"/>
          </w:tcPr>
          <w:p w14:paraId="34755B55">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纳税识别号</w:t>
            </w:r>
          </w:p>
        </w:tc>
        <w:tc>
          <w:tcPr>
            <w:tcW w:w="3060" w:type="dxa"/>
            <w:noWrap w:val="0"/>
            <w:vAlign w:val="center"/>
          </w:tcPr>
          <w:p w14:paraId="5C3541DF">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91450700083610268U</w:t>
            </w:r>
          </w:p>
        </w:tc>
        <w:tc>
          <w:tcPr>
            <w:tcW w:w="3132" w:type="dxa"/>
            <w:noWrap w:val="0"/>
            <w:vAlign w:val="center"/>
          </w:tcPr>
          <w:p w14:paraId="7D47C835">
            <w:pPr>
              <w:tabs>
                <w:tab w:val="left" w:pos="0"/>
              </w:tabs>
              <w:spacing w:line="360" w:lineRule="auto"/>
              <w:jc w:val="center"/>
              <w:rPr>
                <w:rFonts w:hint="eastAsia" w:ascii="仿宋_GB2312" w:eastAsia="仿宋_GB2312"/>
                <w:color w:val="auto"/>
                <w:sz w:val="24"/>
                <w:szCs w:val="24"/>
              </w:rPr>
            </w:pPr>
          </w:p>
        </w:tc>
      </w:tr>
      <w:tr w14:paraId="6684D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13" w:type="dxa"/>
            <w:noWrap w:val="0"/>
            <w:vAlign w:val="center"/>
          </w:tcPr>
          <w:p w14:paraId="54791FE5">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电话</w:t>
            </w:r>
          </w:p>
        </w:tc>
        <w:tc>
          <w:tcPr>
            <w:tcW w:w="3060" w:type="dxa"/>
            <w:noWrap w:val="0"/>
            <w:vAlign w:val="center"/>
          </w:tcPr>
          <w:p w14:paraId="79A8CE18">
            <w:pPr>
              <w:tabs>
                <w:tab w:val="left" w:pos="0"/>
              </w:tabs>
              <w:spacing w:line="360" w:lineRule="auto"/>
              <w:jc w:val="center"/>
              <w:rPr>
                <w:rFonts w:hint="eastAsia" w:ascii="仿宋_GB2312" w:eastAsia="仿宋_GB2312"/>
                <w:color w:val="auto"/>
                <w:sz w:val="24"/>
                <w:szCs w:val="24"/>
              </w:rPr>
            </w:pPr>
            <w:r>
              <w:rPr>
                <w:rFonts w:hint="eastAsia" w:ascii="仿宋_GB2312" w:eastAsia="仿宋_GB2312"/>
                <w:color w:val="auto"/>
                <w:sz w:val="24"/>
                <w:szCs w:val="24"/>
              </w:rPr>
              <w:t>0777-5988988</w:t>
            </w:r>
          </w:p>
        </w:tc>
        <w:tc>
          <w:tcPr>
            <w:tcW w:w="3132" w:type="dxa"/>
            <w:noWrap w:val="0"/>
            <w:vAlign w:val="center"/>
          </w:tcPr>
          <w:p w14:paraId="00C47D6D">
            <w:pPr>
              <w:tabs>
                <w:tab w:val="left" w:pos="0"/>
              </w:tabs>
              <w:spacing w:line="360" w:lineRule="auto"/>
              <w:jc w:val="center"/>
              <w:rPr>
                <w:rFonts w:hint="default" w:ascii="仿宋_GB2312" w:eastAsia="仿宋_GB2312"/>
                <w:color w:val="auto"/>
                <w:sz w:val="24"/>
                <w:szCs w:val="24"/>
                <w:lang w:val="en-US"/>
              </w:rPr>
            </w:pPr>
          </w:p>
        </w:tc>
      </w:tr>
    </w:tbl>
    <w:p w14:paraId="0163E23D">
      <w:pPr>
        <w:tabs>
          <w:tab w:val="left" w:pos="0"/>
        </w:tabs>
        <w:snapToGrid w:val="0"/>
        <w:spacing w:line="280" w:lineRule="exact"/>
        <w:ind w:firstLine="424" w:firstLineChars="177"/>
        <w:jc w:val="left"/>
        <w:rPr>
          <w:rFonts w:hint="eastAsia" w:ascii="仿宋" w:hAnsi="仿宋" w:eastAsia="仿宋"/>
          <w:color w:val="auto"/>
          <w:sz w:val="24"/>
          <w:szCs w:val="24"/>
        </w:rPr>
      </w:pPr>
    </w:p>
    <w:p w14:paraId="45CD7C41">
      <w:pPr>
        <w:tabs>
          <w:tab w:val="left" w:pos="0"/>
        </w:tabs>
        <w:snapToGrid w:val="0"/>
        <w:spacing w:line="280" w:lineRule="exact"/>
        <w:ind w:firstLine="424" w:firstLineChars="177"/>
        <w:jc w:val="left"/>
        <w:rPr>
          <w:rFonts w:hint="eastAsia" w:ascii="仿宋" w:hAnsi="仿宋" w:eastAsia="仿宋"/>
          <w:color w:val="auto"/>
          <w:sz w:val="24"/>
          <w:szCs w:val="24"/>
        </w:rPr>
      </w:pPr>
      <w:r>
        <w:rPr>
          <w:rFonts w:hint="eastAsia" w:ascii="仿宋" w:hAnsi="仿宋" w:eastAsia="仿宋"/>
          <w:color w:val="auto"/>
          <w:sz w:val="24"/>
          <w:szCs w:val="24"/>
        </w:rPr>
        <w:t>（以下无正文）</w:t>
      </w:r>
    </w:p>
    <w:p w14:paraId="39B287C4">
      <w:pPr>
        <w:rPr>
          <w:rFonts w:hint="eastAsia" w:ascii="仿宋" w:hAnsi="仿宋" w:eastAsia="仿宋"/>
          <w:color w:val="auto"/>
          <w:sz w:val="24"/>
        </w:rPr>
      </w:pPr>
    </w:p>
    <w:p w14:paraId="71151A00">
      <w:pPr>
        <w:rPr>
          <w:rFonts w:hint="eastAsia" w:ascii="仿宋" w:hAnsi="仿宋" w:eastAsia="仿宋"/>
          <w:color w:val="auto"/>
          <w:sz w:val="24"/>
        </w:rPr>
      </w:pPr>
      <w:r>
        <w:rPr>
          <w:rFonts w:hint="eastAsia" w:ascii="仿宋" w:hAnsi="仿宋" w:eastAsia="仿宋"/>
          <w:color w:val="auto"/>
          <w:sz w:val="24"/>
        </w:rPr>
        <w:br w:type="page"/>
      </w:r>
    </w:p>
    <w:p w14:paraId="18BA3539">
      <w:pPr>
        <w:autoSpaceDE w:val="0"/>
        <w:autoSpaceDN w:val="0"/>
        <w:adjustRightInd w:val="0"/>
        <w:snapToGrid w:val="0"/>
        <w:spacing w:before="156" w:beforeLines="50" w:line="520" w:lineRule="exact"/>
        <w:ind w:firstLine="480" w:firstLineChars="200"/>
        <w:rPr>
          <w:rFonts w:hint="eastAsia" w:ascii="仿宋_GB2312" w:eastAsia="仿宋_GB2312"/>
          <w:color w:val="auto"/>
          <w:sz w:val="24"/>
          <w:szCs w:val="24"/>
          <w:lang w:val="en-US" w:eastAsia="zh-CN"/>
        </w:rPr>
      </w:pPr>
      <w:r>
        <w:rPr>
          <w:rFonts w:hint="eastAsia" w:ascii="仿宋" w:hAnsi="仿宋" w:eastAsia="仿宋"/>
          <w:color w:val="auto"/>
          <w:sz w:val="24"/>
        </w:rPr>
        <w:t>（本页无正文，为协议签署页。）</w:t>
      </w:r>
    </w:p>
    <w:p w14:paraId="085F97E9">
      <w:pPr>
        <w:autoSpaceDE w:val="0"/>
        <w:autoSpaceDN w:val="0"/>
        <w:adjustRightInd w:val="0"/>
        <w:snapToGrid w:val="0"/>
        <w:spacing w:before="156" w:beforeLines="50" w:line="520" w:lineRule="exact"/>
        <w:ind w:firstLine="480" w:firstLineChars="200"/>
        <w:rPr>
          <w:rFonts w:hint="eastAsia" w:ascii="仿宋_GB2312" w:eastAsia="仿宋_GB2312"/>
          <w:color w:val="auto"/>
          <w:sz w:val="24"/>
          <w:szCs w:val="24"/>
          <w:lang w:val="en-US" w:eastAsia="zh-CN"/>
        </w:rPr>
      </w:pPr>
    </w:p>
    <w:p w14:paraId="4802F498">
      <w:pPr>
        <w:autoSpaceDE w:val="0"/>
        <w:autoSpaceDN w:val="0"/>
        <w:adjustRightInd w:val="0"/>
        <w:snapToGrid w:val="0"/>
        <w:spacing w:before="156" w:beforeLines="50" w:line="520" w:lineRule="exact"/>
        <w:ind w:firstLine="480" w:firstLineChars="200"/>
        <w:rPr>
          <w:rFonts w:hint="eastAsia" w:ascii="仿宋_GB2312" w:eastAsia="仿宋_GB2312"/>
          <w:color w:val="auto"/>
          <w:sz w:val="24"/>
          <w:szCs w:val="24"/>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49DD4FF">
      <w:pPr>
        <w:tabs>
          <w:tab w:val="left" w:pos="0"/>
        </w:tabs>
        <w:spacing w:line="360" w:lineRule="auto"/>
        <w:ind w:right="-153" w:rightChars="-73"/>
        <w:jc w:val="left"/>
        <w:rPr>
          <w:rFonts w:ascii="黑体" w:hAnsi="黑体" w:eastAsia="黑体"/>
          <w:b/>
          <w:bCs/>
          <w:color w:val="auto"/>
          <w:sz w:val="24"/>
        </w:rPr>
      </w:pPr>
      <w:r>
        <w:rPr>
          <w:rFonts w:hint="eastAsia" w:ascii="黑体" w:hAnsi="黑体" w:eastAsia="黑体"/>
          <w:b/>
          <w:bCs/>
          <w:color w:val="auto"/>
          <w:sz w:val="24"/>
        </w:rPr>
        <w:t xml:space="preserve">甲 </w:t>
      </w:r>
      <w:r>
        <w:rPr>
          <w:rFonts w:ascii="黑体" w:hAnsi="黑体" w:eastAsia="黑体"/>
          <w:b/>
          <w:bCs/>
          <w:color w:val="auto"/>
          <w:sz w:val="24"/>
        </w:rPr>
        <w:t xml:space="preserve"> </w:t>
      </w:r>
      <w:r>
        <w:rPr>
          <w:rFonts w:hint="eastAsia" w:ascii="黑体" w:hAnsi="黑体" w:eastAsia="黑体"/>
          <w:b/>
          <w:bCs/>
          <w:color w:val="auto"/>
          <w:sz w:val="24"/>
        </w:rPr>
        <w:t>方：（盖章）</w:t>
      </w:r>
    </w:p>
    <w:p w14:paraId="4AD10C3C">
      <w:pPr>
        <w:tabs>
          <w:tab w:val="left" w:pos="0"/>
        </w:tabs>
        <w:spacing w:line="360" w:lineRule="auto"/>
        <w:ind w:right="-153" w:rightChars="-73"/>
        <w:jc w:val="left"/>
        <w:rPr>
          <w:rFonts w:ascii="仿宋" w:hAnsi="仿宋" w:eastAsia="仿宋"/>
          <w:color w:val="auto"/>
          <w:sz w:val="24"/>
        </w:rPr>
      </w:pPr>
      <w:r>
        <w:rPr>
          <w:rFonts w:hint="eastAsia" w:ascii="仿宋" w:hAnsi="仿宋" w:eastAsia="仿宋"/>
          <w:color w:val="auto"/>
          <w:sz w:val="24"/>
        </w:rPr>
        <w:t>广西中马钦州产业园区开发有限公司</w:t>
      </w:r>
    </w:p>
    <w:p w14:paraId="7616DF57">
      <w:pPr>
        <w:tabs>
          <w:tab w:val="left" w:pos="0"/>
        </w:tabs>
        <w:spacing w:line="360" w:lineRule="auto"/>
        <w:ind w:right="-153" w:rightChars="-73"/>
        <w:jc w:val="left"/>
        <w:rPr>
          <w:rFonts w:hint="eastAsia" w:ascii="仿宋" w:hAnsi="仿宋" w:eastAsia="仿宋"/>
          <w:color w:val="auto"/>
          <w:sz w:val="24"/>
        </w:rPr>
      </w:pPr>
    </w:p>
    <w:p w14:paraId="75C514B5">
      <w:pPr>
        <w:tabs>
          <w:tab w:val="left" w:pos="0"/>
        </w:tabs>
        <w:spacing w:line="360" w:lineRule="auto"/>
        <w:ind w:right="-153" w:rightChars="-73"/>
        <w:jc w:val="left"/>
        <w:rPr>
          <w:rFonts w:hint="eastAsia" w:ascii="仿宋" w:hAnsi="仿宋" w:eastAsia="仿宋"/>
          <w:color w:val="auto"/>
          <w:sz w:val="24"/>
        </w:rPr>
      </w:pPr>
    </w:p>
    <w:p w14:paraId="13E2AE7E">
      <w:pPr>
        <w:tabs>
          <w:tab w:val="left" w:pos="0"/>
        </w:tabs>
        <w:spacing w:line="360" w:lineRule="auto"/>
        <w:ind w:right="-153" w:rightChars="-73"/>
        <w:jc w:val="left"/>
        <w:rPr>
          <w:rFonts w:ascii="仿宋" w:hAnsi="仿宋" w:eastAsia="仿宋"/>
          <w:color w:val="auto"/>
          <w:sz w:val="24"/>
        </w:rPr>
      </w:pPr>
      <w:r>
        <w:rPr>
          <w:rFonts w:hint="eastAsia" w:ascii="黑体" w:hAnsi="黑体" w:eastAsia="黑体"/>
          <w:b/>
          <w:bCs/>
          <w:color w:val="auto"/>
          <w:sz w:val="24"/>
        </w:rPr>
        <w:t>法定代表人：（签字或签章）</w:t>
      </w:r>
      <w:r>
        <w:rPr>
          <w:rFonts w:hint="eastAsia" w:ascii="仿宋" w:hAnsi="仿宋" w:eastAsia="仿宋"/>
          <w:color w:val="auto"/>
          <w:sz w:val="24"/>
        </w:rPr>
        <w:t xml:space="preserve"> </w:t>
      </w:r>
    </w:p>
    <w:p w14:paraId="7DFABE8C">
      <w:pPr>
        <w:tabs>
          <w:tab w:val="left" w:pos="0"/>
        </w:tabs>
        <w:spacing w:line="360" w:lineRule="auto"/>
        <w:ind w:right="-153" w:rightChars="-73"/>
        <w:jc w:val="left"/>
        <w:rPr>
          <w:rFonts w:hint="eastAsia" w:ascii="仿宋" w:hAnsi="仿宋" w:eastAsia="仿宋"/>
          <w:color w:val="auto"/>
          <w:sz w:val="24"/>
        </w:rPr>
      </w:pPr>
    </w:p>
    <w:p w14:paraId="5199D1E6">
      <w:pPr>
        <w:tabs>
          <w:tab w:val="left" w:pos="0"/>
        </w:tabs>
        <w:spacing w:line="360" w:lineRule="auto"/>
        <w:ind w:right="-153" w:rightChars="-73"/>
        <w:jc w:val="left"/>
        <w:rPr>
          <w:rFonts w:hint="eastAsia" w:ascii="仿宋" w:hAnsi="仿宋" w:eastAsia="仿宋"/>
          <w:color w:val="auto"/>
          <w:sz w:val="24"/>
        </w:rPr>
      </w:pPr>
    </w:p>
    <w:p w14:paraId="22AAFFAB">
      <w:pPr>
        <w:tabs>
          <w:tab w:val="left" w:pos="0"/>
        </w:tabs>
        <w:spacing w:line="360" w:lineRule="auto"/>
        <w:ind w:right="-153" w:rightChars="-73"/>
        <w:jc w:val="left"/>
        <w:rPr>
          <w:rFonts w:ascii="黑体" w:hAnsi="黑体" w:eastAsia="黑体"/>
          <w:b/>
          <w:bCs/>
          <w:color w:val="auto"/>
          <w:sz w:val="24"/>
        </w:rPr>
      </w:pPr>
      <w:r>
        <w:rPr>
          <w:rFonts w:hint="eastAsia" w:ascii="黑体" w:hAnsi="黑体" w:eastAsia="黑体"/>
          <w:b/>
          <w:bCs/>
          <w:color w:val="auto"/>
          <w:sz w:val="24"/>
        </w:rPr>
        <w:t>委托代理人：（签字）</w:t>
      </w:r>
    </w:p>
    <w:p w14:paraId="40EA8560">
      <w:pPr>
        <w:tabs>
          <w:tab w:val="left" w:pos="0"/>
        </w:tabs>
        <w:spacing w:line="360" w:lineRule="auto"/>
        <w:ind w:right="-153" w:rightChars="-73"/>
        <w:jc w:val="left"/>
        <w:rPr>
          <w:rFonts w:hint="eastAsia" w:ascii="仿宋" w:hAnsi="仿宋" w:eastAsia="仿宋"/>
          <w:color w:val="auto"/>
          <w:sz w:val="24"/>
        </w:rPr>
      </w:pPr>
    </w:p>
    <w:p w14:paraId="5ECCB5C6">
      <w:pPr>
        <w:tabs>
          <w:tab w:val="left" w:pos="0"/>
        </w:tabs>
        <w:spacing w:line="360" w:lineRule="auto"/>
        <w:ind w:right="-153" w:rightChars="-73"/>
        <w:jc w:val="left"/>
        <w:rPr>
          <w:rFonts w:hint="eastAsia" w:ascii="仿宋" w:hAnsi="仿宋" w:eastAsia="仿宋"/>
          <w:color w:val="auto"/>
          <w:sz w:val="24"/>
        </w:rPr>
      </w:pPr>
    </w:p>
    <w:p w14:paraId="58004053">
      <w:pPr>
        <w:tabs>
          <w:tab w:val="left" w:pos="0"/>
        </w:tabs>
        <w:spacing w:line="360" w:lineRule="auto"/>
        <w:ind w:right="-153" w:rightChars="-73"/>
        <w:jc w:val="left"/>
        <w:rPr>
          <w:rFonts w:ascii="黑体" w:hAnsi="黑体" w:eastAsia="黑体"/>
          <w:b/>
          <w:bCs/>
          <w:color w:val="auto"/>
          <w:sz w:val="24"/>
        </w:rPr>
      </w:pPr>
      <w:bookmarkStart w:id="0" w:name="_Hlk78966547"/>
      <w:r>
        <w:rPr>
          <w:rFonts w:hint="eastAsia" w:ascii="黑体" w:hAnsi="黑体" w:eastAsia="黑体"/>
          <w:b/>
          <w:bCs/>
          <w:color w:val="auto"/>
          <w:sz w:val="24"/>
        </w:rPr>
        <w:t>通讯地址</w:t>
      </w:r>
      <w:bookmarkEnd w:id="0"/>
      <w:r>
        <w:rPr>
          <w:rFonts w:hint="eastAsia" w:ascii="黑体" w:hAnsi="黑体" w:eastAsia="黑体"/>
          <w:b/>
          <w:bCs/>
          <w:color w:val="auto"/>
          <w:sz w:val="24"/>
        </w:rPr>
        <w:t>：</w:t>
      </w:r>
    </w:p>
    <w:p w14:paraId="6F22B32D">
      <w:pPr>
        <w:tabs>
          <w:tab w:val="left" w:pos="0"/>
        </w:tabs>
        <w:spacing w:line="360" w:lineRule="auto"/>
        <w:ind w:right="-153" w:rightChars="-73"/>
        <w:jc w:val="left"/>
        <w:rPr>
          <w:rFonts w:ascii="仿宋" w:hAnsi="仿宋" w:eastAsia="仿宋"/>
          <w:color w:val="auto"/>
          <w:sz w:val="24"/>
        </w:rPr>
      </w:pPr>
      <w:r>
        <w:rPr>
          <w:rFonts w:hint="eastAsia" w:ascii="仿宋" w:hAnsi="仿宋" w:eastAsia="仿宋"/>
          <w:color w:val="auto"/>
          <w:sz w:val="24"/>
        </w:rPr>
        <w:t>广西钦州市中马钦州产业园区友谊大道88号中马广场5号写字楼19层</w:t>
      </w:r>
    </w:p>
    <w:p w14:paraId="1DE18563">
      <w:pPr>
        <w:tabs>
          <w:tab w:val="left" w:pos="0"/>
        </w:tabs>
        <w:spacing w:line="360" w:lineRule="auto"/>
        <w:ind w:right="-153" w:rightChars="-73"/>
        <w:jc w:val="left"/>
        <w:rPr>
          <w:rFonts w:hint="eastAsia" w:ascii="仿宋" w:hAnsi="仿宋" w:eastAsia="仿宋"/>
          <w:color w:val="auto"/>
          <w:sz w:val="24"/>
        </w:rPr>
      </w:pPr>
    </w:p>
    <w:p w14:paraId="2669D6AC">
      <w:pPr>
        <w:tabs>
          <w:tab w:val="left" w:pos="0"/>
        </w:tabs>
        <w:spacing w:line="360" w:lineRule="auto"/>
        <w:ind w:right="-153" w:rightChars="-73"/>
        <w:jc w:val="left"/>
        <w:rPr>
          <w:rFonts w:ascii="黑体" w:hAnsi="黑体" w:eastAsia="黑体"/>
          <w:b/>
          <w:bCs/>
          <w:color w:val="auto"/>
          <w:sz w:val="24"/>
        </w:rPr>
      </w:pPr>
      <w:r>
        <w:rPr>
          <w:rFonts w:hint="eastAsia" w:ascii="黑体" w:hAnsi="黑体" w:eastAsia="黑体"/>
          <w:b/>
          <w:bCs/>
          <w:color w:val="auto"/>
          <w:sz w:val="24"/>
        </w:rPr>
        <w:t>开户银行：</w:t>
      </w:r>
    </w:p>
    <w:p w14:paraId="2405A54D">
      <w:pPr>
        <w:tabs>
          <w:tab w:val="left" w:pos="0"/>
        </w:tabs>
        <w:spacing w:line="360" w:lineRule="auto"/>
        <w:ind w:right="-153" w:rightChars="-73"/>
        <w:jc w:val="left"/>
        <w:rPr>
          <w:rFonts w:hint="eastAsia" w:ascii="仿宋" w:hAnsi="仿宋" w:eastAsia="仿宋"/>
          <w:color w:val="auto"/>
          <w:sz w:val="24"/>
        </w:rPr>
      </w:pPr>
      <w:r>
        <w:rPr>
          <w:rFonts w:hint="eastAsia" w:ascii="仿宋" w:hAnsi="仿宋" w:eastAsia="仿宋"/>
          <w:color w:val="auto"/>
          <w:sz w:val="24"/>
        </w:rPr>
        <w:t>中国建设银行股份有限公司钦州港区</w:t>
      </w:r>
    </w:p>
    <w:p w14:paraId="52DA3655">
      <w:pPr>
        <w:tabs>
          <w:tab w:val="left" w:pos="0"/>
        </w:tabs>
        <w:spacing w:line="360" w:lineRule="auto"/>
        <w:ind w:right="-153" w:rightChars="-73"/>
        <w:jc w:val="left"/>
        <w:rPr>
          <w:rFonts w:hint="eastAsia" w:ascii="仿宋" w:hAnsi="仿宋" w:eastAsia="仿宋"/>
          <w:color w:val="auto"/>
          <w:sz w:val="24"/>
        </w:rPr>
      </w:pPr>
      <w:r>
        <w:rPr>
          <w:rFonts w:hint="eastAsia" w:ascii="仿宋" w:hAnsi="仿宋" w:eastAsia="仿宋"/>
          <w:color w:val="auto"/>
          <w:sz w:val="24"/>
        </w:rPr>
        <w:t>支行</w:t>
      </w:r>
    </w:p>
    <w:p w14:paraId="63F1FE4B">
      <w:pPr>
        <w:tabs>
          <w:tab w:val="left" w:pos="0"/>
        </w:tabs>
        <w:spacing w:line="360" w:lineRule="auto"/>
        <w:ind w:right="-153" w:rightChars="-73"/>
        <w:jc w:val="left"/>
        <w:rPr>
          <w:rFonts w:ascii="仿宋" w:hAnsi="仿宋" w:eastAsia="仿宋"/>
          <w:color w:val="auto"/>
          <w:sz w:val="24"/>
        </w:rPr>
      </w:pPr>
      <w:r>
        <w:rPr>
          <w:rFonts w:hint="eastAsia" w:ascii="黑体" w:hAnsi="黑体" w:eastAsia="黑体"/>
          <w:b/>
          <w:bCs/>
          <w:color w:val="auto"/>
          <w:sz w:val="24"/>
        </w:rPr>
        <w:t>帐    号</w:t>
      </w:r>
      <w:r>
        <w:rPr>
          <w:rFonts w:hint="eastAsia" w:ascii="仿宋" w:hAnsi="仿宋" w:eastAsia="仿宋"/>
          <w:color w:val="auto"/>
          <w:sz w:val="24"/>
        </w:rPr>
        <w:t xml:space="preserve">：45001659851059118168 </w:t>
      </w:r>
    </w:p>
    <w:p w14:paraId="3AF8080F">
      <w:pPr>
        <w:tabs>
          <w:tab w:val="left" w:pos="0"/>
        </w:tabs>
        <w:spacing w:line="360" w:lineRule="auto"/>
        <w:ind w:right="-153" w:rightChars="-73"/>
        <w:jc w:val="left"/>
        <w:rPr>
          <w:rFonts w:ascii="仿宋" w:hAnsi="仿宋" w:eastAsia="仿宋"/>
          <w:color w:val="auto"/>
          <w:sz w:val="24"/>
        </w:rPr>
      </w:pPr>
      <w:r>
        <w:rPr>
          <w:rFonts w:hint="eastAsia" w:ascii="黑体" w:hAnsi="黑体" w:eastAsia="黑体"/>
          <w:b/>
          <w:bCs/>
          <w:color w:val="auto"/>
          <w:sz w:val="24"/>
        </w:rPr>
        <w:t>邮政编码</w:t>
      </w:r>
      <w:r>
        <w:rPr>
          <w:rFonts w:hint="eastAsia" w:ascii="仿宋" w:hAnsi="仿宋" w:eastAsia="仿宋"/>
          <w:color w:val="auto"/>
          <w:sz w:val="24"/>
        </w:rPr>
        <w:t xml:space="preserve">：535000 </w:t>
      </w:r>
    </w:p>
    <w:p w14:paraId="250D37FC">
      <w:pPr>
        <w:tabs>
          <w:tab w:val="left" w:pos="0"/>
        </w:tabs>
        <w:spacing w:line="360" w:lineRule="auto"/>
        <w:ind w:right="-153" w:rightChars="-73"/>
        <w:jc w:val="left"/>
        <w:rPr>
          <w:rFonts w:ascii="仿宋" w:hAnsi="仿宋" w:eastAsia="仿宋"/>
          <w:color w:val="auto"/>
          <w:sz w:val="24"/>
        </w:rPr>
      </w:pPr>
      <w:r>
        <w:rPr>
          <w:rFonts w:hint="eastAsia" w:ascii="黑体" w:hAnsi="黑体" w:eastAsia="黑体"/>
          <w:b/>
          <w:bCs/>
          <w:color w:val="auto"/>
          <w:sz w:val="24"/>
        </w:rPr>
        <w:t>电    话</w:t>
      </w:r>
      <w:r>
        <w:rPr>
          <w:rFonts w:hint="eastAsia" w:ascii="仿宋" w:hAnsi="仿宋" w:eastAsia="仿宋"/>
          <w:color w:val="auto"/>
          <w:sz w:val="24"/>
        </w:rPr>
        <w:t xml:space="preserve">： </w:t>
      </w:r>
    </w:p>
    <w:p w14:paraId="0E1DF897">
      <w:pPr>
        <w:tabs>
          <w:tab w:val="left" w:pos="0"/>
        </w:tabs>
        <w:spacing w:line="360" w:lineRule="auto"/>
        <w:ind w:right="-153" w:rightChars="-73"/>
        <w:jc w:val="left"/>
        <w:rPr>
          <w:rFonts w:hint="eastAsia" w:ascii="仿宋" w:hAnsi="仿宋" w:eastAsia="仿宋"/>
          <w:color w:val="auto"/>
          <w:sz w:val="24"/>
        </w:rPr>
      </w:pPr>
      <w:r>
        <w:rPr>
          <w:rFonts w:hint="eastAsia" w:ascii="黑体" w:hAnsi="黑体" w:eastAsia="黑体"/>
          <w:b/>
          <w:bCs/>
          <w:color w:val="auto"/>
          <w:sz w:val="24"/>
        </w:rPr>
        <w:t>电子信箱</w:t>
      </w:r>
      <w:r>
        <w:rPr>
          <w:rFonts w:hint="eastAsia" w:ascii="仿宋" w:hAnsi="仿宋" w:eastAsia="仿宋"/>
          <w:color w:val="auto"/>
          <w:sz w:val="24"/>
        </w:rPr>
        <w:t>：</w:t>
      </w:r>
    </w:p>
    <w:p w14:paraId="63115C2F">
      <w:pPr>
        <w:tabs>
          <w:tab w:val="left" w:pos="0"/>
        </w:tabs>
        <w:spacing w:line="360" w:lineRule="auto"/>
        <w:ind w:right="-153" w:rightChars="-73"/>
        <w:jc w:val="left"/>
        <w:rPr>
          <w:rFonts w:hint="eastAsia" w:ascii="仿宋" w:hAnsi="仿宋" w:eastAsia="仿宋"/>
          <w:color w:val="auto"/>
          <w:sz w:val="24"/>
        </w:rPr>
      </w:pPr>
    </w:p>
    <w:p w14:paraId="05BC0725">
      <w:pPr>
        <w:tabs>
          <w:tab w:val="left" w:pos="0"/>
        </w:tabs>
        <w:spacing w:line="360" w:lineRule="auto"/>
        <w:ind w:right="-153" w:rightChars="-73"/>
        <w:jc w:val="left"/>
        <w:rPr>
          <w:rFonts w:hint="eastAsia" w:ascii="黑体" w:hAnsi="黑体" w:eastAsia="黑体"/>
          <w:b/>
          <w:bCs/>
          <w:color w:val="auto"/>
          <w:sz w:val="24"/>
        </w:rPr>
      </w:pPr>
      <w:r>
        <w:rPr>
          <w:rFonts w:hint="eastAsia" w:ascii="黑体" w:hAnsi="黑体" w:eastAsia="黑体"/>
          <w:b/>
          <w:bCs/>
          <w:color w:val="auto"/>
          <w:sz w:val="24"/>
        </w:rPr>
        <w:t>签约日期：</w:t>
      </w:r>
    </w:p>
    <w:p w14:paraId="7B2E7571">
      <w:pPr>
        <w:tabs>
          <w:tab w:val="left" w:pos="0"/>
        </w:tabs>
        <w:spacing w:line="360" w:lineRule="auto"/>
        <w:ind w:right="-153" w:rightChars="-73"/>
        <w:jc w:val="left"/>
        <w:rPr>
          <w:rFonts w:hint="eastAsia" w:ascii="黑体" w:hAnsi="黑体" w:eastAsia="黑体"/>
          <w:b/>
          <w:bCs/>
          <w:color w:val="auto"/>
          <w:sz w:val="24"/>
        </w:rPr>
      </w:pPr>
      <w:r>
        <w:rPr>
          <w:rFonts w:hint="eastAsia" w:ascii="黑体" w:hAnsi="黑体" w:eastAsia="黑体"/>
          <w:b/>
          <w:bCs/>
          <w:color w:val="auto"/>
          <w:sz w:val="24"/>
        </w:rPr>
        <w:t xml:space="preserve">乙 </w:t>
      </w:r>
      <w:r>
        <w:rPr>
          <w:rFonts w:ascii="黑体" w:hAnsi="黑体" w:eastAsia="黑体"/>
          <w:b/>
          <w:bCs/>
          <w:color w:val="auto"/>
          <w:sz w:val="24"/>
        </w:rPr>
        <w:t xml:space="preserve"> </w:t>
      </w:r>
      <w:r>
        <w:rPr>
          <w:rFonts w:hint="eastAsia" w:ascii="黑体" w:hAnsi="黑体" w:eastAsia="黑体"/>
          <w:b/>
          <w:bCs/>
          <w:color w:val="auto"/>
          <w:sz w:val="24"/>
        </w:rPr>
        <w:t>方：（盖章）</w:t>
      </w:r>
    </w:p>
    <w:p w14:paraId="23CB6179">
      <w:pPr>
        <w:tabs>
          <w:tab w:val="left" w:pos="0"/>
        </w:tabs>
        <w:spacing w:line="360" w:lineRule="auto"/>
        <w:ind w:left="1920" w:hanging="1920" w:hangingChars="800"/>
        <w:jc w:val="left"/>
        <w:rPr>
          <w:rFonts w:hint="eastAsia" w:ascii="仿宋" w:hAnsi="仿宋" w:eastAsia="仿宋"/>
          <w:bCs/>
          <w:color w:val="auto"/>
          <w:sz w:val="24"/>
          <w:szCs w:val="24"/>
          <w:lang w:val="en-US" w:eastAsia="zh-CN"/>
        </w:rPr>
      </w:pPr>
    </w:p>
    <w:p w14:paraId="3FA6DA83">
      <w:pPr>
        <w:tabs>
          <w:tab w:val="left" w:pos="0"/>
        </w:tabs>
        <w:spacing w:line="360" w:lineRule="auto"/>
        <w:ind w:left="1920" w:hanging="1920" w:hangingChars="800"/>
        <w:jc w:val="left"/>
        <w:rPr>
          <w:rFonts w:hint="eastAsia" w:ascii="仿宋" w:hAnsi="仿宋" w:eastAsia="仿宋"/>
          <w:bCs/>
          <w:color w:val="auto"/>
          <w:sz w:val="24"/>
          <w:szCs w:val="24"/>
          <w:lang w:val="en-US" w:eastAsia="zh-CN"/>
        </w:rPr>
      </w:pPr>
    </w:p>
    <w:p w14:paraId="3A49F25F">
      <w:pPr>
        <w:tabs>
          <w:tab w:val="left" w:pos="0"/>
        </w:tabs>
        <w:spacing w:line="360" w:lineRule="auto"/>
        <w:ind w:left="1920" w:hanging="1928" w:hangingChars="800"/>
        <w:jc w:val="left"/>
        <w:rPr>
          <w:rFonts w:hint="eastAsia" w:ascii="仿宋" w:hAnsi="仿宋" w:eastAsia="仿宋"/>
          <w:bCs/>
          <w:color w:val="auto"/>
          <w:sz w:val="24"/>
          <w:szCs w:val="24"/>
          <w:lang w:val="en-US" w:eastAsia="zh-CN"/>
        </w:rPr>
      </w:pPr>
      <w:r>
        <w:rPr>
          <w:rFonts w:hint="eastAsia" w:ascii="黑体" w:hAnsi="黑体" w:eastAsia="黑体"/>
          <w:b/>
          <w:bCs/>
          <w:color w:val="auto"/>
          <w:sz w:val="24"/>
        </w:rPr>
        <w:t>法定代表人：（签字或签章）</w:t>
      </w:r>
    </w:p>
    <w:p w14:paraId="4804F01D">
      <w:pPr>
        <w:tabs>
          <w:tab w:val="left" w:pos="0"/>
        </w:tabs>
        <w:spacing w:line="360" w:lineRule="auto"/>
        <w:jc w:val="left"/>
        <w:rPr>
          <w:rFonts w:ascii="黑体" w:hAnsi="黑体" w:eastAsia="黑体"/>
          <w:b/>
          <w:bCs/>
          <w:color w:val="auto"/>
          <w:sz w:val="24"/>
        </w:rPr>
      </w:pPr>
    </w:p>
    <w:p w14:paraId="2350C03C">
      <w:pPr>
        <w:tabs>
          <w:tab w:val="left" w:pos="0"/>
        </w:tabs>
        <w:spacing w:line="360" w:lineRule="auto"/>
        <w:jc w:val="left"/>
        <w:rPr>
          <w:rFonts w:ascii="仿宋" w:hAnsi="仿宋" w:eastAsia="仿宋"/>
          <w:color w:val="auto"/>
          <w:sz w:val="24"/>
        </w:rPr>
      </w:pPr>
    </w:p>
    <w:p w14:paraId="781D5DB0">
      <w:pPr>
        <w:tabs>
          <w:tab w:val="left" w:pos="0"/>
        </w:tabs>
        <w:spacing w:line="360" w:lineRule="auto"/>
        <w:jc w:val="left"/>
        <w:rPr>
          <w:rFonts w:ascii="黑体" w:hAnsi="黑体" w:eastAsia="黑体"/>
          <w:b/>
          <w:bCs/>
          <w:color w:val="auto"/>
          <w:sz w:val="24"/>
        </w:rPr>
      </w:pPr>
      <w:r>
        <w:rPr>
          <w:rFonts w:hint="eastAsia" w:ascii="黑体" w:hAnsi="黑体" w:eastAsia="黑体"/>
          <w:b/>
          <w:bCs/>
          <w:color w:val="auto"/>
          <w:sz w:val="24"/>
        </w:rPr>
        <w:t>委托代理人：（签字）</w:t>
      </w:r>
    </w:p>
    <w:p w14:paraId="7DD2B474">
      <w:pPr>
        <w:tabs>
          <w:tab w:val="left" w:pos="0"/>
        </w:tabs>
        <w:spacing w:line="360" w:lineRule="auto"/>
        <w:jc w:val="left"/>
        <w:rPr>
          <w:rFonts w:ascii="仿宋" w:hAnsi="仿宋" w:eastAsia="仿宋"/>
          <w:color w:val="auto"/>
          <w:sz w:val="24"/>
        </w:rPr>
      </w:pPr>
    </w:p>
    <w:p w14:paraId="511F0C8B">
      <w:pPr>
        <w:tabs>
          <w:tab w:val="left" w:pos="0"/>
        </w:tabs>
        <w:spacing w:line="360" w:lineRule="auto"/>
        <w:jc w:val="left"/>
        <w:rPr>
          <w:rFonts w:ascii="仿宋" w:hAnsi="仿宋" w:eastAsia="仿宋"/>
          <w:color w:val="auto"/>
          <w:sz w:val="24"/>
        </w:rPr>
      </w:pPr>
    </w:p>
    <w:p w14:paraId="2D7888B7">
      <w:pPr>
        <w:tabs>
          <w:tab w:val="left" w:pos="0"/>
        </w:tabs>
        <w:spacing w:line="360" w:lineRule="auto"/>
        <w:jc w:val="left"/>
        <w:rPr>
          <w:rFonts w:ascii="黑体" w:hAnsi="黑体" w:eastAsia="黑体"/>
          <w:b/>
          <w:bCs/>
          <w:color w:val="auto"/>
          <w:sz w:val="24"/>
        </w:rPr>
      </w:pPr>
      <w:r>
        <w:rPr>
          <w:rFonts w:hint="eastAsia" w:ascii="黑体" w:hAnsi="黑体" w:eastAsia="黑体"/>
          <w:b/>
          <w:bCs/>
          <w:color w:val="auto"/>
          <w:sz w:val="24"/>
        </w:rPr>
        <w:t>通讯地址：</w:t>
      </w:r>
    </w:p>
    <w:p w14:paraId="03A91149">
      <w:pPr>
        <w:tabs>
          <w:tab w:val="left" w:pos="0"/>
        </w:tabs>
        <w:spacing w:line="360" w:lineRule="auto"/>
        <w:ind w:right="-153" w:rightChars="-73"/>
        <w:jc w:val="left"/>
        <w:rPr>
          <w:rFonts w:hint="eastAsia" w:ascii="仿宋" w:hAnsi="仿宋" w:eastAsia="仿宋"/>
          <w:color w:val="auto"/>
          <w:sz w:val="24"/>
          <w:lang w:eastAsia="zh-CN"/>
        </w:rPr>
      </w:pPr>
    </w:p>
    <w:p w14:paraId="482F1131">
      <w:pPr>
        <w:tabs>
          <w:tab w:val="left" w:pos="0"/>
        </w:tabs>
        <w:spacing w:line="360" w:lineRule="auto"/>
        <w:ind w:right="-153" w:rightChars="-73"/>
        <w:jc w:val="left"/>
        <w:rPr>
          <w:rFonts w:hint="eastAsia" w:ascii="仿宋" w:hAnsi="仿宋" w:eastAsia="仿宋"/>
          <w:color w:val="auto"/>
          <w:sz w:val="24"/>
          <w:lang w:eastAsia="zh-CN"/>
        </w:rPr>
      </w:pPr>
    </w:p>
    <w:p w14:paraId="64C886B1">
      <w:pPr>
        <w:tabs>
          <w:tab w:val="left" w:pos="0"/>
        </w:tabs>
        <w:spacing w:line="360" w:lineRule="auto"/>
        <w:ind w:right="-153" w:rightChars="-73"/>
        <w:jc w:val="left"/>
        <w:rPr>
          <w:rFonts w:hint="eastAsia" w:ascii="仿宋" w:hAnsi="仿宋" w:eastAsia="仿宋"/>
          <w:color w:val="auto"/>
          <w:sz w:val="24"/>
        </w:rPr>
      </w:pPr>
    </w:p>
    <w:p w14:paraId="7EA7E378">
      <w:pPr>
        <w:tabs>
          <w:tab w:val="left" w:pos="0"/>
        </w:tabs>
        <w:spacing w:line="360" w:lineRule="auto"/>
        <w:jc w:val="left"/>
        <w:rPr>
          <w:rFonts w:ascii="黑体" w:hAnsi="黑体" w:eastAsia="黑体"/>
          <w:b/>
          <w:bCs/>
          <w:color w:val="auto"/>
          <w:sz w:val="24"/>
        </w:rPr>
      </w:pPr>
      <w:r>
        <w:rPr>
          <w:rFonts w:hint="eastAsia" w:ascii="黑体" w:hAnsi="黑体" w:eastAsia="黑体"/>
          <w:b/>
          <w:bCs/>
          <w:color w:val="auto"/>
          <w:sz w:val="24"/>
        </w:rPr>
        <w:t>开户银行：</w:t>
      </w:r>
    </w:p>
    <w:p w14:paraId="712BD768">
      <w:pPr>
        <w:tabs>
          <w:tab w:val="left" w:pos="0"/>
        </w:tabs>
        <w:spacing w:line="360" w:lineRule="auto"/>
        <w:ind w:right="-153" w:rightChars="-73"/>
        <w:jc w:val="left"/>
        <w:rPr>
          <w:rFonts w:ascii="仿宋" w:hAnsi="仿宋" w:eastAsia="仿宋"/>
          <w:color w:val="auto"/>
          <w:sz w:val="24"/>
        </w:rPr>
      </w:pPr>
    </w:p>
    <w:p w14:paraId="3547E2FB">
      <w:pPr>
        <w:tabs>
          <w:tab w:val="left" w:pos="0"/>
        </w:tabs>
        <w:spacing w:line="360" w:lineRule="auto"/>
        <w:ind w:right="-153" w:rightChars="-73"/>
        <w:jc w:val="left"/>
        <w:rPr>
          <w:rFonts w:ascii="黑体" w:hAnsi="黑体" w:eastAsia="黑体"/>
          <w:b/>
          <w:bCs/>
          <w:color w:val="auto"/>
          <w:sz w:val="24"/>
        </w:rPr>
      </w:pPr>
    </w:p>
    <w:p w14:paraId="17CCB99C">
      <w:pPr>
        <w:tabs>
          <w:tab w:val="left" w:pos="0"/>
        </w:tabs>
        <w:spacing w:line="360" w:lineRule="auto"/>
        <w:ind w:right="-153" w:rightChars="-73"/>
        <w:jc w:val="left"/>
        <w:rPr>
          <w:rFonts w:ascii="仿宋" w:hAnsi="仿宋" w:eastAsia="仿宋"/>
          <w:color w:val="auto"/>
          <w:sz w:val="24"/>
        </w:rPr>
      </w:pPr>
      <w:r>
        <w:rPr>
          <w:rFonts w:hint="eastAsia" w:ascii="黑体" w:hAnsi="黑体" w:eastAsia="黑体"/>
          <w:b/>
          <w:bCs/>
          <w:color w:val="auto"/>
          <w:sz w:val="24"/>
        </w:rPr>
        <w:t>帐    号</w:t>
      </w:r>
      <w:r>
        <w:rPr>
          <w:rFonts w:hint="eastAsia" w:ascii="仿宋" w:hAnsi="仿宋" w:eastAsia="仿宋"/>
          <w:color w:val="auto"/>
          <w:sz w:val="24"/>
        </w:rPr>
        <w:t>：</w:t>
      </w:r>
    </w:p>
    <w:p w14:paraId="5F6BF576">
      <w:pPr>
        <w:tabs>
          <w:tab w:val="left" w:pos="0"/>
        </w:tabs>
        <w:spacing w:line="360" w:lineRule="auto"/>
        <w:ind w:right="-153" w:rightChars="-73"/>
        <w:jc w:val="left"/>
        <w:rPr>
          <w:rFonts w:ascii="仿宋" w:hAnsi="仿宋" w:eastAsia="仿宋"/>
          <w:color w:val="auto"/>
          <w:sz w:val="24"/>
        </w:rPr>
      </w:pPr>
      <w:r>
        <w:rPr>
          <w:rFonts w:hint="eastAsia" w:ascii="黑体" w:hAnsi="黑体" w:eastAsia="黑体"/>
          <w:b/>
          <w:bCs/>
          <w:color w:val="auto"/>
          <w:sz w:val="24"/>
        </w:rPr>
        <w:t>邮政编码</w:t>
      </w:r>
      <w:r>
        <w:rPr>
          <w:rFonts w:hint="eastAsia" w:ascii="仿宋" w:hAnsi="仿宋" w:eastAsia="仿宋"/>
          <w:color w:val="auto"/>
          <w:sz w:val="24"/>
        </w:rPr>
        <w:t>：</w:t>
      </w:r>
    </w:p>
    <w:p w14:paraId="2E75B751">
      <w:pPr>
        <w:tabs>
          <w:tab w:val="left" w:pos="0"/>
        </w:tabs>
        <w:spacing w:line="360" w:lineRule="auto"/>
        <w:ind w:right="-153" w:rightChars="-73"/>
        <w:jc w:val="left"/>
        <w:rPr>
          <w:rFonts w:ascii="仿宋" w:hAnsi="仿宋" w:eastAsia="仿宋"/>
          <w:color w:val="auto"/>
          <w:sz w:val="24"/>
        </w:rPr>
      </w:pPr>
      <w:r>
        <w:rPr>
          <w:rFonts w:hint="eastAsia" w:ascii="黑体" w:hAnsi="黑体" w:eastAsia="黑体"/>
          <w:b/>
          <w:bCs/>
          <w:color w:val="auto"/>
          <w:sz w:val="24"/>
        </w:rPr>
        <w:t>电    话</w:t>
      </w:r>
      <w:r>
        <w:rPr>
          <w:rFonts w:hint="eastAsia" w:ascii="仿宋" w:hAnsi="仿宋" w:eastAsia="仿宋"/>
          <w:color w:val="auto"/>
          <w:sz w:val="24"/>
        </w:rPr>
        <w:t>：</w:t>
      </w:r>
    </w:p>
    <w:p w14:paraId="75442E35">
      <w:pPr>
        <w:tabs>
          <w:tab w:val="left" w:pos="0"/>
        </w:tabs>
        <w:spacing w:line="360" w:lineRule="auto"/>
        <w:ind w:right="-153" w:rightChars="-73"/>
        <w:jc w:val="left"/>
        <w:rPr>
          <w:rFonts w:hint="eastAsia" w:ascii="仿宋" w:hAnsi="仿宋" w:eastAsia="仿宋"/>
          <w:color w:val="auto"/>
          <w:sz w:val="24"/>
        </w:rPr>
      </w:pPr>
      <w:r>
        <w:rPr>
          <w:rFonts w:hint="eastAsia" w:ascii="黑体" w:hAnsi="黑体" w:eastAsia="黑体"/>
          <w:b/>
          <w:bCs/>
          <w:color w:val="auto"/>
          <w:sz w:val="24"/>
        </w:rPr>
        <w:t>电子信箱</w:t>
      </w:r>
      <w:r>
        <w:rPr>
          <w:rFonts w:hint="eastAsia" w:ascii="仿宋" w:hAnsi="仿宋" w:eastAsia="仿宋"/>
          <w:color w:val="auto"/>
          <w:sz w:val="24"/>
        </w:rPr>
        <w:t>：</w:t>
      </w:r>
    </w:p>
    <w:p w14:paraId="31EB0FDF">
      <w:pPr>
        <w:tabs>
          <w:tab w:val="left" w:pos="0"/>
        </w:tabs>
        <w:spacing w:line="360" w:lineRule="auto"/>
        <w:ind w:right="-153" w:rightChars="-73"/>
        <w:jc w:val="left"/>
        <w:rPr>
          <w:rFonts w:hint="eastAsia" w:ascii="仿宋" w:hAnsi="仿宋" w:eastAsia="仿宋"/>
          <w:color w:val="auto"/>
          <w:sz w:val="24"/>
        </w:rPr>
      </w:pPr>
    </w:p>
    <w:p w14:paraId="3D7689CF">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0" w:firstLineChars="0"/>
        <w:textAlignment w:val="auto"/>
        <w:rPr>
          <w:rFonts w:hint="eastAsia" w:ascii="黑体" w:hAnsi="黑体" w:eastAsia="黑体"/>
          <w:b/>
          <w:bCs/>
          <w:color w:val="auto"/>
          <w:sz w:val="24"/>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equalWidth="0" w:num="2">
            <w:col w:w="3940" w:space="425"/>
            <w:col w:w="3940"/>
          </w:cols>
          <w:docGrid w:type="lines" w:linePitch="312" w:charSpace="0"/>
        </w:sectPr>
      </w:pPr>
      <w:r>
        <w:rPr>
          <w:rFonts w:hint="eastAsia" w:ascii="黑体" w:hAnsi="黑体" w:eastAsia="黑体"/>
          <w:b/>
          <w:bCs/>
          <w:color w:val="auto"/>
          <w:sz w:val="24"/>
        </w:rPr>
        <w:t>签约日期：</w:t>
      </w:r>
    </w:p>
    <w:p w14:paraId="3755E6EE">
      <w:pPr>
        <w:rPr>
          <w:rFonts w:hint="eastAsia" w:ascii="黑体" w:hAnsi="黑体" w:eastAsia="黑体"/>
          <w:b/>
          <w:bCs/>
          <w:color w:val="auto"/>
          <w:sz w:val="24"/>
          <w:lang w:val="en-US" w:eastAsia="zh-CN"/>
        </w:rPr>
      </w:pPr>
      <w:r>
        <w:rPr>
          <w:rFonts w:hint="eastAsia" w:ascii="黑体" w:hAnsi="黑体" w:eastAsia="黑体"/>
          <w:b/>
          <w:bCs/>
          <w:color w:val="auto"/>
          <w:sz w:val="24"/>
          <w:lang w:val="en-US" w:eastAsia="zh-CN"/>
        </w:rPr>
        <w:br w:type="page"/>
      </w:r>
    </w:p>
    <w:p w14:paraId="0C02162A">
      <w:pPr>
        <w:tabs>
          <w:tab w:val="left" w:pos="0"/>
        </w:tabs>
        <w:spacing w:line="360" w:lineRule="auto"/>
        <w:rPr>
          <w:rFonts w:ascii="黑体" w:hAnsi="黑体" w:eastAsia="黑体"/>
          <w:b/>
          <w:bCs/>
          <w:color w:val="auto"/>
          <w:sz w:val="28"/>
          <w:szCs w:val="24"/>
        </w:rPr>
      </w:pPr>
      <w:r>
        <w:rPr>
          <w:rFonts w:hint="eastAsia" w:ascii="黑体" w:hAnsi="黑体" w:eastAsia="黑体"/>
          <w:b/>
          <w:bCs/>
          <w:color w:val="auto"/>
          <w:sz w:val="28"/>
          <w:szCs w:val="24"/>
        </w:rPr>
        <w:t>审计业务约定书附件</w:t>
      </w:r>
    </w:p>
    <w:p w14:paraId="016BE185">
      <w:pPr>
        <w:keepNext w:val="0"/>
        <w:keepLines w:val="0"/>
        <w:pageBreakBefore w:val="0"/>
        <w:widowControl w:val="0"/>
        <w:tabs>
          <w:tab w:val="left" w:pos="0"/>
        </w:tabs>
        <w:kinsoku/>
        <w:wordWrap/>
        <w:overflowPunct/>
        <w:topLinePunct w:val="0"/>
        <w:autoSpaceDE/>
        <w:autoSpaceDN/>
        <w:bidi w:val="0"/>
        <w:adjustRightInd/>
        <w:snapToGrid/>
        <w:spacing w:after="79" w:afterLines="25" w:line="360" w:lineRule="auto"/>
        <w:textAlignment w:val="auto"/>
        <w:rPr>
          <w:rFonts w:ascii="仿宋_GB2312" w:eastAsia="仿宋_GB2312"/>
          <w:b/>
          <w:bCs/>
          <w:color w:val="auto"/>
          <w:sz w:val="24"/>
          <w:szCs w:val="24"/>
        </w:rPr>
      </w:pPr>
      <w:r>
        <w:rPr>
          <w:rFonts w:hint="eastAsia" w:ascii="仿宋_GB2312" w:eastAsia="仿宋_GB2312"/>
          <w:b/>
          <w:bCs/>
          <w:color w:val="auto"/>
          <w:sz w:val="24"/>
          <w:szCs w:val="24"/>
        </w:rPr>
        <w:t>1、合并报表审计需单独出具报告</w:t>
      </w:r>
      <w:r>
        <w:rPr>
          <w:rFonts w:hint="eastAsia" w:ascii="仿宋_GB2312" w:eastAsia="仿宋_GB2312"/>
          <w:b/>
          <w:bCs/>
          <w:color w:val="auto"/>
          <w:sz w:val="24"/>
          <w:szCs w:val="24"/>
          <w:lang w:eastAsia="zh-CN"/>
        </w:rPr>
        <w:t>，</w:t>
      </w:r>
      <w:r>
        <w:rPr>
          <w:rFonts w:hint="eastAsia" w:ascii="仿宋_GB2312" w:eastAsia="仿宋_GB2312"/>
          <w:b/>
          <w:bCs/>
          <w:color w:val="auto"/>
          <w:sz w:val="24"/>
          <w:szCs w:val="24"/>
        </w:rPr>
        <w:t>收费含在主合同中的被审计单位名单</w:t>
      </w:r>
    </w:p>
    <w:tbl>
      <w:tblPr>
        <w:tblStyle w:val="6"/>
        <w:tblW w:w="8505" w:type="dxa"/>
        <w:jc w:val="center"/>
        <w:tblLayout w:type="fixed"/>
        <w:tblCellMar>
          <w:top w:w="0" w:type="dxa"/>
          <w:left w:w="108" w:type="dxa"/>
          <w:bottom w:w="0" w:type="dxa"/>
          <w:right w:w="108" w:type="dxa"/>
        </w:tblCellMar>
      </w:tblPr>
      <w:tblGrid>
        <w:gridCol w:w="673"/>
        <w:gridCol w:w="3976"/>
        <w:gridCol w:w="1618"/>
        <w:gridCol w:w="2238"/>
      </w:tblGrid>
      <w:tr w14:paraId="4A320499">
        <w:tblPrEx>
          <w:tblCellMar>
            <w:top w:w="0" w:type="dxa"/>
            <w:left w:w="108" w:type="dxa"/>
            <w:bottom w:w="0" w:type="dxa"/>
            <w:right w:w="108" w:type="dxa"/>
          </w:tblCellMar>
        </w:tblPrEx>
        <w:trPr>
          <w:trHeight w:val="531" w:hRule="atLeast"/>
          <w:jc w:val="center"/>
        </w:trPr>
        <w:tc>
          <w:tcPr>
            <w:tcW w:w="673" w:type="dxa"/>
            <w:tcBorders>
              <w:top w:val="single" w:color="auto" w:sz="8" w:space="0"/>
              <w:left w:val="single" w:color="auto" w:sz="8" w:space="0"/>
              <w:bottom w:val="single" w:color="auto" w:sz="4" w:space="0"/>
              <w:right w:val="single" w:color="auto" w:sz="4" w:space="0"/>
            </w:tcBorders>
            <w:noWrap/>
            <w:vAlign w:val="center"/>
          </w:tcPr>
          <w:p w14:paraId="0AED2075">
            <w:pPr>
              <w:keepNext w:val="0"/>
              <w:keepLines w:val="0"/>
              <w:pageBreakBefore w:val="0"/>
              <w:widowControl w:val="0"/>
              <w:tabs>
                <w:tab w:val="left" w:pos="0"/>
              </w:tabs>
              <w:kinsoku/>
              <w:wordWrap/>
              <w:overflowPunct/>
              <w:topLinePunct w:val="0"/>
              <w:autoSpaceDE/>
              <w:autoSpaceDN/>
              <w:bidi w:val="0"/>
              <w:adjustRightInd/>
              <w:snapToGrid/>
              <w:spacing w:line="360" w:lineRule="auto"/>
              <w:ind w:left="-53" w:leftChars="-25" w:right="-53" w:rightChars="-25"/>
              <w:jc w:val="center"/>
              <w:textAlignment w:val="auto"/>
              <w:rPr>
                <w:rFonts w:ascii="仿宋" w:hAnsi="仿宋" w:eastAsia="仿宋"/>
                <w:color w:val="auto"/>
                <w:sz w:val="24"/>
                <w:szCs w:val="24"/>
              </w:rPr>
            </w:pPr>
            <w:r>
              <w:rPr>
                <w:rFonts w:hint="eastAsia" w:ascii="仿宋" w:hAnsi="仿宋" w:eastAsia="仿宋"/>
                <w:color w:val="auto"/>
                <w:sz w:val="24"/>
                <w:szCs w:val="24"/>
              </w:rPr>
              <w:t>序号</w:t>
            </w:r>
          </w:p>
        </w:tc>
        <w:tc>
          <w:tcPr>
            <w:tcW w:w="3976" w:type="dxa"/>
            <w:tcBorders>
              <w:top w:val="single" w:color="auto" w:sz="8" w:space="0"/>
              <w:left w:val="nil"/>
              <w:bottom w:val="single" w:color="auto" w:sz="4" w:space="0"/>
              <w:right w:val="single" w:color="auto" w:sz="4" w:space="0"/>
            </w:tcBorders>
            <w:noWrap/>
            <w:vAlign w:val="center"/>
          </w:tcPr>
          <w:p w14:paraId="662179F7">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单位名称</w:t>
            </w:r>
          </w:p>
        </w:tc>
        <w:tc>
          <w:tcPr>
            <w:tcW w:w="1618" w:type="dxa"/>
            <w:tcBorders>
              <w:top w:val="single" w:color="auto" w:sz="8" w:space="0"/>
              <w:left w:val="nil"/>
              <w:bottom w:val="single" w:color="auto" w:sz="4" w:space="0"/>
              <w:right w:val="single" w:color="auto" w:sz="4" w:space="0"/>
            </w:tcBorders>
            <w:noWrap/>
            <w:vAlign w:val="center"/>
          </w:tcPr>
          <w:p w14:paraId="37913095">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关联关系</w:t>
            </w:r>
          </w:p>
        </w:tc>
        <w:tc>
          <w:tcPr>
            <w:tcW w:w="2238" w:type="dxa"/>
            <w:tcBorders>
              <w:top w:val="single" w:color="auto" w:sz="8" w:space="0"/>
              <w:left w:val="nil"/>
              <w:bottom w:val="single" w:color="auto" w:sz="4" w:space="0"/>
              <w:right w:val="single" w:color="auto" w:sz="8" w:space="0"/>
            </w:tcBorders>
            <w:noWrap/>
            <w:vAlign w:val="center"/>
          </w:tcPr>
          <w:p w14:paraId="7E4EE335">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备注</w:t>
            </w:r>
          </w:p>
        </w:tc>
      </w:tr>
      <w:tr w14:paraId="4B131C00">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7AAC11E9">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1</w:t>
            </w:r>
          </w:p>
        </w:tc>
        <w:tc>
          <w:tcPr>
            <w:tcW w:w="3976" w:type="dxa"/>
            <w:tcBorders>
              <w:top w:val="single" w:color="auto" w:sz="4" w:space="0"/>
              <w:left w:val="nil"/>
              <w:bottom w:val="single" w:color="auto" w:sz="4" w:space="0"/>
              <w:right w:val="single" w:color="auto" w:sz="4" w:space="0"/>
            </w:tcBorders>
            <w:noWrap/>
            <w:vAlign w:val="center"/>
          </w:tcPr>
          <w:p w14:paraId="017F820D">
            <w:pPr>
              <w:tabs>
                <w:tab w:val="left" w:pos="0"/>
              </w:tabs>
              <w:spacing w:line="360" w:lineRule="auto"/>
              <w:jc w:val="left"/>
              <w:rPr>
                <w:rFonts w:hint="eastAsia" w:ascii="仿宋" w:hAnsi="仿宋" w:eastAsia="仿宋"/>
                <w:color w:val="auto"/>
                <w:sz w:val="24"/>
                <w:szCs w:val="24"/>
              </w:rPr>
            </w:pPr>
            <w:r>
              <w:rPr>
                <w:rFonts w:hint="eastAsia" w:ascii="仿宋" w:hAnsi="仿宋" w:eastAsia="仿宋"/>
                <w:color w:val="auto"/>
                <w:sz w:val="24"/>
                <w:szCs w:val="24"/>
              </w:rPr>
              <w:t>广西孔雀湾投资开发有限公司</w:t>
            </w:r>
          </w:p>
        </w:tc>
        <w:tc>
          <w:tcPr>
            <w:tcW w:w="1618" w:type="dxa"/>
            <w:tcBorders>
              <w:top w:val="single" w:color="auto" w:sz="4" w:space="0"/>
              <w:left w:val="nil"/>
              <w:bottom w:val="single" w:color="auto" w:sz="4" w:space="0"/>
              <w:right w:val="single" w:color="auto" w:sz="4" w:space="0"/>
            </w:tcBorders>
            <w:noWrap/>
            <w:vAlign w:val="center"/>
          </w:tcPr>
          <w:p w14:paraId="5F5E5426">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0FAD0867">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合并财务报表审计报告（中文版）</w:t>
            </w:r>
          </w:p>
        </w:tc>
      </w:tr>
      <w:tr w14:paraId="067BE65F">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71D29E8F">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2</w:t>
            </w:r>
          </w:p>
        </w:tc>
        <w:tc>
          <w:tcPr>
            <w:tcW w:w="3976" w:type="dxa"/>
            <w:tcBorders>
              <w:top w:val="single" w:color="auto" w:sz="4" w:space="0"/>
              <w:left w:val="nil"/>
              <w:bottom w:val="single" w:color="auto" w:sz="4" w:space="0"/>
              <w:right w:val="single" w:color="auto" w:sz="4" w:space="0"/>
            </w:tcBorders>
            <w:noWrap/>
            <w:vAlign w:val="center"/>
          </w:tcPr>
          <w:p w14:paraId="6C06B4B2">
            <w:pPr>
              <w:tabs>
                <w:tab w:val="left" w:pos="0"/>
              </w:tabs>
              <w:spacing w:line="360" w:lineRule="auto"/>
              <w:jc w:val="left"/>
              <w:rPr>
                <w:rFonts w:ascii="仿宋" w:hAnsi="仿宋" w:eastAsia="仿宋"/>
                <w:color w:val="auto"/>
                <w:sz w:val="24"/>
                <w:szCs w:val="24"/>
              </w:rPr>
            </w:pPr>
            <w:r>
              <w:rPr>
                <w:rFonts w:hint="eastAsia" w:ascii="仿宋" w:hAnsi="仿宋" w:eastAsia="仿宋"/>
                <w:color w:val="auto"/>
                <w:sz w:val="24"/>
                <w:szCs w:val="24"/>
              </w:rPr>
              <w:t>广西钦州孔雀湾物业服务有限公司</w:t>
            </w:r>
          </w:p>
        </w:tc>
        <w:tc>
          <w:tcPr>
            <w:tcW w:w="1618" w:type="dxa"/>
            <w:tcBorders>
              <w:top w:val="single" w:color="auto" w:sz="4" w:space="0"/>
              <w:left w:val="nil"/>
              <w:bottom w:val="single" w:color="auto" w:sz="4" w:space="0"/>
              <w:right w:val="single" w:color="auto" w:sz="4" w:space="0"/>
            </w:tcBorders>
            <w:noWrap/>
            <w:vAlign w:val="center"/>
          </w:tcPr>
          <w:p w14:paraId="1FF3A38E">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1F072EC4">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r w14:paraId="171CB45C">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45D6FEAB">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3</w:t>
            </w:r>
          </w:p>
        </w:tc>
        <w:tc>
          <w:tcPr>
            <w:tcW w:w="3976" w:type="dxa"/>
            <w:tcBorders>
              <w:top w:val="single" w:color="auto" w:sz="4" w:space="0"/>
              <w:left w:val="nil"/>
              <w:bottom w:val="single" w:color="auto" w:sz="4" w:space="0"/>
              <w:right w:val="single" w:color="auto" w:sz="4" w:space="0"/>
            </w:tcBorders>
            <w:noWrap/>
            <w:vAlign w:val="center"/>
          </w:tcPr>
          <w:p w14:paraId="4CEC5233">
            <w:pPr>
              <w:tabs>
                <w:tab w:val="left" w:pos="0"/>
              </w:tabs>
              <w:spacing w:line="360" w:lineRule="auto"/>
              <w:jc w:val="left"/>
              <w:rPr>
                <w:rFonts w:ascii="仿宋" w:hAnsi="仿宋" w:eastAsia="仿宋"/>
                <w:color w:val="auto"/>
                <w:sz w:val="24"/>
                <w:szCs w:val="24"/>
              </w:rPr>
            </w:pPr>
            <w:r>
              <w:rPr>
                <w:rFonts w:hint="eastAsia" w:ascii="仿宋" w:hAnsi="仿宋" w:eastAsia="仿宋"/>
                <w:color w:val="auto"/>
                <w:sz w:val="24"/>
                <w:szCs w:val="24"/>
              </w:rPr>
              <w:t>广西中马钦州产业园区孔雀湾混凝土有限公司</w:t>
            </w:r>
          </w:p>
        </w:tc>
        <w:tc>
          <w:tcPr>
            <w:tcW w:w="1618" w:type="dxa"/>
            <w:tcBorders>
              <w:top w:val="single" w:color="auto" w:sz="4" w:space="0"/>
              <w:left w:val="nil"/>
              <w:bottom w:val="single" w:color="auto" w:sz="4" w:space="0"/>
              <w:right w:val="single" w:color="auto" w:sz="4" w:space="0"/>
            </w:tcBorders>
            <w:noWrap/>
            <w:vAlign w:val="center"/>
          </w:tcPr>
          <w:p w14:paraId="24DA0A66">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0ECD1F8A">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r w14:paraId="0C068621">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2F889144">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4</w:t>
            </w:r>
          </w:p>
        </w:tc>
        <w:tc>
          <w:tcPr>
            <w:tcW w:w="3976" w:type="dxa"/>
            <w:tcBorders>
              <w:top w:val="single" w:color="auto" w:sz="4" w:space="0"/>
              <w:left w:val="nil"/>
              <w:bottom w:val="single" w:color="auto" w:sz="4" w:space="0"/>
              <w:right w:val="single" w:color="auto" w:sz="4" w:space="0"/>
            </w:tcBorders>
            <w:noWrap/>
            <w:vAlign w:val="center"/>
          </w:tcPr>
          <w:p w14:paraId="6A9971C5">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广西孔雀湾建设工程有限公司</w:t>
            </w:r>
          </w:p>
        </w:tc>
        <w:tc>
          <w:tcPr>
            <w:tcW w:w="1618" w:type="dxa"/>
            <w:tcBorders>
              <w:top w:val="single" w:color="auto" w:sz="4" w:space="0"/>
              <w:left w:val="nil"/>
              <w:bottom w:val="single" w:color="auto" w:sz="4" w:space="0"/>
              <w:right w:val="single" w:color="auto" w:sz="4" w:space="0"/>
            </w:tcBorders>
            <w:noWrap/>
            <w:vAlign w:val="center"/>
          </w:tcPr>
          <w:p w14:paraId="41FE5829">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2C5E15DB">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r w14:paraId="54A08F63">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4CDFC7FD">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5</w:t>
            </w:r>
          </w:p>
        </w:tc>
        <w:tc>
          <w:tcPr>
            <w:tcW w:w="3976" w:type="dxa"/>
            <w:tcBorders>
              <w:top w:val="single" w:color="auto" w:sz="4" w:space="0"/>
              <w:left w:val="nil"/>
              <w:bottom w:val="single" w:color="auto" w:sz="4" w:space="0"/>
              <w:right w:val="single" w:color="auto" w:sz="4" w:space="0"/>
            </w:tcBorders>
            <w:noWrap/>
            <w:vAlign w:val="center"/>
          </w:tcPr>
          <w:p w14:paraId="550E44B3">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广西中马钦丹产业服务有限公司</w:t>
            </w:r>
          </w:p>
        </w:tc>
        <w:tc>
          <w:tcPr>
            <w:tcW w:w="1618" w:type="dxa"/>
            <w:tcBorders>
              <w:top w:val="single" w:color="auto" w:sz="4" w:space="0"/>
              <w:left w:val="nil"/>
              <w:bottom w:val="single" w:color="auto" w:sz="4" w:space="0"/>
              <w:right w:val="single" w:color="auto" w:sz="4" w:space="0"/>
            </w:tcBorders>
            <w:noWrap/>
            <w:vAlign w:val="center"/>
          </w:tcPr>
          <w:p w14:paraId="78B9E312">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4213839A">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r w14:paraId="0C50F7EC">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71E18C03">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6</w:t>
            </w:r>
          </w:p>
        </w:tc>
        <w:tc>
          <w:tcPr>
            <w:tcW w:w="3976" w:type="dxa"/>
            <w:tcBorders>
              <w:top w:val="single" w:color="auto" w:sz="4" w:space="0"/>
              <w:left w:val="nil"/>
              <w:bottom w:val="single" w:color="auto" w:sz="4" w:space="0"/>
              <w:right w:val="single" w:color="auto" w:sz="4" w:space="0"/>
            </w:tcBorders>
            <w:noWrap/>
            <w:vAlign w:val="center"/>
          </w:tcPr>
          <w:p w14:paraId="1FBF8F98">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广西中马孔雀湾石油有限公司</w:t>
            </w:r>
          </w:p>
        </w:tc>
        <w:tc>
          <w:tcPr>
            <w:tcW w:w="1618" w:type="dxa"/>
            <w:tcBorders>
              <w:top w:val="single" w:color="auto" w:sz="4" w:space="0"/>
              <w:left w:val="nil"/>
              <w:bottom w:val="single" w:color="auto" w:sz="4" w:space="0"/>
              <w:right w:val="single" w:color="auto" w:sz="4" w:space="0"/>
            </w:tcBorders>
            <w:noWrap/>
            <w:vAlign w:val="center"/>
          </w:tcPr>
          <w:p w14:paraId="4AF2423A">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3220E558">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r w14:paraId="785C1AF9">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05739109">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7</w:t>
            </w:r>
          </w:p>
        </w:tc>
        <w:tc>
          <w:tcPr>
            <w:tcW w:w="3976" w:type="dxa"/>
            <w:tcBorders>
              <w:top w:val="single" w:color="auto" w:sz="4" w:space="0"/>
              <w:left w:val="nil"/>
              <w:bottom w:val="single" w:color="auto" w:sz="4" w:space="0"/>
              <w:right w:val="single" w:color="auto" w:sz="4" w:space="0"/>
            </w:tcBorders>
            <w:noWrap/>
            <w:vAlign w:val="center"/>
          </w:tcPr>
          <w:p w14:paraId="069C7544">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广西中马钦海石油有限公司</w:t>
            </w:r>
          </w:p>
        </w:tc>
        <w:tc>
          <w:tcPr>
            <w:tcW w:w="1618" w:type="dxa"/>
            <w:tcBorders>
              <w:top w:val="single" w:color="auto" w:sz="4" w:space="0"/>
              <w:left w:val="nil"/>
              <w:bottom w:val="single" w:color="auto" w:sz="4" w:space="0"/>
              <w:right w:val="single" w:color="auto" w:sz="4" w:space="0"/>
            </w:tcBorders>
            <w:noWrap/>
            <w:vAlign w:val="center"/>
          </w:tcPr>
          <w:p w14:paraId="3FC4787A">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418998C9">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r w14:paraId="5CF0274D">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02AD463C">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8</w:t>
            </w:r>
          </w:p>
        </w:tc>
        <w:tc>
          <w:tcPr>
            <w:tcW w:w="3976" w:type="dxa"/>
            <w:tcBorders>
              <w:top w:val="single" w:color="auto" w:sz="4" w:space="0"/>
              <w:left w:val="nil"/>
              <w:bottom w:val="single" w:color="auto" w:sz="4" w:space="0"/>
              <w:right w:val="single" w:color="auto" w:sz="4" w:space="0"/>
            </w:tcBorders>
            <w:noWrap/>
            <w:vAlign w:val="center"/>
          </w:tcPr>
          <w:p w14:paraId="3196F562">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广西孔雀湾友谊投资开发有限公司</w:t>
            </w:r>
          </w:p>
        </w:tc>
        <w:tc>
          <w:tcPr>
            <w:tcW w:w="1618" w:type="dxa"/>
            <w:tcBorders>
              <w:top w:val="single" w:color="auto" w:sz="4" w:space="0"/>
              <w:left w:val="nil"/>
              <w:bottom w:val="single" w:color="auto" w:sz="4" w:space="0"/>
              <w:right w:val="single" w:color="auto" w:sz="4" w:space="0"/>
            </w:tcBorders>
            <w:noWrap/>
            <w:vAlign w:val="center"/>
          </w:tcPr>
          <w:p w14:paraId="379820A2">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3A016B47">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r w14:paraId="69699DE0">
        <w:tblPrEx>
          <w:tblCellMar>
            <w:top w:w="0" w:type="dxa"/>
            <w:left w:w="108" w:type="dxa"/>
            <w:bottom w:w="0" w:type="dxa"/>
            <w:right w:w="108" w:type="dxa"/>
          </w:tblCellMar>
        </w:tblPrEx>
        <w:trPr>
          <w:jc w:val="center"/>
        </w:trPr>
        <w:tc>
          <w:tcPr>
            <w:tcW w:w="673" w:type="dxa"/>
            <w:tcBorders>
              <w:top w:val="single" w:color="auto" w:sz="4" w:space="0"/>
              <w:left w:val="single" w:color="auto" w:sz="8" w:space="0"/>
              <w:bottom w:val="single" w:color="auto" w:sz="4" w:space="0"/>
              <w:right w:val="single" w:color="auto" w:sz="4" w:space="0"/>
            </w:tcBorders>
            <w:noWrap/>
            <w:vAlign w:val="center"/>
          </w:tcPr>
          <w:p w14:paraId="56656B46">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9</w:t>
            </w:r>
          </w:p>
        </w:tc>
        <w:tc>
          <w:tcPr>
            <w:tcW w:w="3976" w:type="dxa"/>
            <w:tcBorders>
              <w:top w:val="single" w:color="auto" w:sz="4" w:space="0"/>
              <w:left w:val="nil"/>
              <w:bottom w:val="single" w:color="auto" w:sz="4" w:space="0"/>
              <w:right w:val="single" w:color="auto" w:sz="4" w:space="0"/>
            </w:tcBorders>
            <w:noWrap/>
            <w:vAlign w:val="center"/>
          </w:tcPr>
          <w:p w14:paraId="02B17EFC">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广西孔雀湾锦绣投资开发有限公司</w:t>
            </w:r>
          </w:p>
        </w:tc>
        <w:tc>
          <w:tcPr>
            <w:tcW w:w="1618" w:type="dxa"/>
            <w:tcBorders>
              <w:top w:val="single" w:color="auto" w:sz="4" w:space="0"/>
              <w:left w:val="nil"/>
              <w:bottom w:val="single" w:color="auto" w:sz="4" w:space="0"/>
              <w:right w:val="single" w:color="auto" w:sz="4" w:space="0"/>
            </w:tcBorders>
            <w:noWrap/>
            <w:vAlign w:val="center"/>
          </w:tcPr>
          <w:p w14:paraId="2A24120D">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控股子公司</w:t>
            </w:r>
          </w:p>
        </w:tc>
        <w:tc>
          <w:tcPr>
            <w:tcW w:w="2238" w:type="dxa"/>
            <w:tcBorders>
              <w:top w:val="single" w:color="auto" w:sz="4" w:space="0"/>
              <w:left w:val="nil"/>
              <w:bottom w:val="single" w:color="auto" w:sz="4" w:space="0"/>
              <w:right w:val="single" w:color="auto" w:sz="8" w:space="0"/>
            </w:tcBorders>
            <w:noWrap/>
            <w:vAlign w:val="center"/>
          </w:tcPr>
          <w:p w14:paraId="2EF6FD22">
            <w:pPr>
              <w:tabs>
                <w:tab w:val="left" w:pos="0"/>
              </w:tabs>
              <w:spacing w:line="360" w:lineRule="auto"/>
              <w:jc w:val="center"/>
              <w:rPr>
                <w:rFonts w:ascii="仿宋" w:hAnsi="仿宋" w:eastAsia="仿宋"/>
                <w:color w:val="auto"/>
                <w:sz w:val="24"/>
                <w:szCs w:val="24"/>
              </w:rPr>
            </w:pPr>
            <w:r>
              <w:rPr>
                <w:rFonts w:hint="eastAsia" w:ascii="仿宋" w:hAnsi="仿宋" w:eastAsia="仿宋"/>
                <w:color w:val="auto"/>
                <w:sz w:val="24"/>
                <w:szCs w:val="24"/>
              </w:rPr>
              <w:t>财务报表审计报告（中文版）</w:t>
            </w:r>
          </w:p>
        </w:tc>
      </w:tr>
    </w:tbl>
    <w:p w14:paraId="43F1BBE4">
      <w:pPr>
        <w:keepNext w:val="0"/>
        <w:keepLines w:val="0"/>
        <w:pageBreakBefore w:val="0"/>
        <w:widowControl w:val="0"/>
        <w:tabs>
          <w:tab w:val="left" w:pos="0"/>
        </w:tabs>
        <w:kinsoku/>
        <w:wordWrap/>
        <w:overflowPunct/>
        <w:topLinePunct w:val="0"/>
        <w:autoSpaceDE/>
        <w:autoSpaceDN/>
        <w:bidi w:val="0"/>
        <w:adjustRightInd/>
        <w:snapToGrid/>
        <w:spacing w:before="79" w:beforeLines="25" w:line="360" w:lineRule="auto"/>
        <w:textAlignment w:val="auto"/>
        <w:rPr>
          <w:rFonts w:hint="eastAsia" w:ascii="仿宋_GB2312" w:eastAsia="仿宋_GB2312"/>
          <w:color w:val="auto"/>
          <w:sz w:val="24"/>
          <w:szCs w:val="24"/>
          <w:lang w:eastAsia="zh-CN"/>
        </w:rPr>
      </w:pPr>
      <w:r>
        <w:rPr>
          <w:rFonts w:hint="eastAsia" w:ascii="仿宋_GB2312" w:eastAsia="仿宋_GB2312"/>
          <w:color w:val="auto"/>
          <w:sz w:val="24"/>
          <w:szCs w:val="24"/>
        </w:rPr>
        <w:t>注：</w:t>
      </w: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“关联关系”栏填列与集团母公司的关系如控股子公司、合营企业、联营企业等</w:t>
      </w:r>
      <w:r>
        <w:rPr>
          <w:rFonts w:hint="eastAsia" w:ascii="仿宋_GB2312" w:eastAsia="仿宋_GB2312"/>
          <w:color w:val="auto"/>
          <w:sz w:val="24"/>
          <w:szCs w:val="24"/>
          <w:lang w:eastAsia="zh-CN"/>
        </w:rPr>
        <w:t>。</w:t>
      </w:r>
    </w:p>
    <w:p w14:paraId="4ADB927B">
      <w:pPr>
        <w:keepNext w:val="0"/>
        <w:keepLines w:val="0"/>
        <w:pageBreakBefore w:val="0"/>
        <w:widowControl w:val="0"/>
        <w:tabs>
          <w:tab w:val="left" w:pos="0"/>
        </w:tabs>
        <w:kinsoku/>
        <w:wordWrap/>
        <w:overflowPunct/>
        <w:topLinePunct w:val="0"/>
        <w:autoSpaceDE/>
        <w:autoSpaceDN/>
        <w:bidi w:val="0"/>
        <w:adjustRightInd/>
        <w:snapToGrid/>
        <w:spacing w:before="79" w:beforeLines="25" w:line="360" w:lineRule="auto"/>
        <w:textAlignment w:val="auto"/>
        <w:rPr>
          <w:rFonts w:hint="default" w:ascii="仿宋_GB2312" w:eastAsia="仿宋_GB2312"/>
          <w:color w:val="auto"/>
          <w:sz w:val="24"/>
          <w:szCs w:val="24"/>
          <w:lang w:val="en-US" w:eastAsia="zh-CN"/>
        </w:rPr>
      </w:pPr>
      <w:r>
        <w:rPr>
          <w:rFonts w:hint="eastAsia" w:ascii="仿宋_GB2312" w:eastAsia="仿宋_GB2312"/>
          <w:color w:val="auto"/>
          <w:sz w:val="24"/>
          <w:szCs w:val="24"/>
          <w:lang w:val="en-US" w:eastAsia="zh-CN"/>
        </w:rPr>
        <w:t>2. 另有注册在马来西亚的子公司“中马钦州产业园区（马来西亚）开发公司”不需要单独出具审计报告，但需要列入广西中马钦州产业园区开发有限公司的合并范围。</w:t>
      </w:r>
    </w:p>
    <w:p w14:paraId="2D675C4D">
      <w:pPr>
        <w:keepNext w:val="0"/>
        <w:keepLines w:val="0"/>
        <w:pageBreakBefore/>
        <w:widowControl w:val="0"/>
        <w:tabs>
          <w:tab w:val="left" w:pos="0"/>
        </w:tabs>
        <w:kinsoku/>
        <w:wordWrap/>
        <w:overflowPunct/>
        <w:topLinePunct w:val="0"/>
        <w:autoSpaceDE/>
        <w:autoSpaceDN/>
        <w:bidi w:val="0"/>
        <w:adjustRightInd/>
        <w:snapToGrid/>
        <w:spacing w:after="79" w:afterLines="25" w:line="360" w:lineRule="auto"/>
        <w:textAlignment w:val="auto"/>
        <w:rPr>
          <w:rFonts w:ascii="仿宋_GB2312" w:eastAsia="仿宋_GB2312"/>
          <w:b/>
          <w:bCs/>
          <w:color w:val="auto"/>
          <w:sz w:val="24"/>
          <w:szCs w:val="24"/>
        </w:rPr>
      </w:pPr>
      <w:r>
        <w:rPr>
          <w:rFonts w:ascii="仿宋_GB2312" w:eastAsia="仿宋_GB2312"/>
          <w:b/>
          <w:bCs/>
          <w:color w:val="auto"/>
          <w:sz w:val="24"/>
          <w:szCs w:val="24"/>
        </w:rPr>
        <w:t>2</w:t>
      </w:r>
      <w:r>
        <w:rPr>
          <w:rFonts w:hint="eastAsia" w:ascii="仿宋_GB2312" w:eastAsia="仿宋_GB2312"/>
          <w:b/>
          <w:bCs/>
          <w:color w:val="auto"/>
          <w:sz w:val="24"/>
          <w:szCs w:val="24"/>
        </w:rPr>
        <w:t>、本次审计费用清单</w:t>
      </w:r>
    </w:p>
    <w:tbl>
      <w:tblPr>
        <w:tblStyle w:val="6"/>
        <w:tblW w:w="9305" w:type="dxa"/>
        <w:tblInd w:w="-176" w:type="dxa"/>
        <w:tblLayout w:type="fixed"/>
        <w:tblCellMar>
          <w:top w:w="0" w:type="dxa"/>
          <w:left w:w="108" w:type="dxa"/>
          <w:bottom w:w="0" w:type="dxa"/>
          <w:right w:w="108" w:type="dxa"/>
        </w:tblCellMar>
      </w:tblPr>
      <w:tblGrid>
        <w:gridCol w:w="710"/>
        <w:gridCol w:w="3557"/>
        <w:gridCol w:w="1857"/>
        <w:gridCol w:w="1581"/>
        <w:gridCol w:w="1600"/>
      </w:tblGrid>
      <w:tr w14:paraId="7446E9E4">
        <w:tblPrEx>
          <w:tblCellMar>
            <w:top w:w="0" w:type="dxa"/>
            <w:left w:w="108" w:type="dxa"/>
            <w:bottom w:w="0" w:type="dxa"/>
            <w:right w:w="108" w:type="dxa"/>
          </w:tblCellMar>
        </w:tblPrEx>
        <w:trPr>
          <w:trHeight w:val="1110"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700678B1">
            <w:pPr>
              <w:spacing w:line="440" w:lineRule="exact"/>
              <w:jc w:val="center"/>
              <w:rPr>
                <w:rFonts w:hint="eastAsia" w:ascii="仿宋" w:hAnsi="仿宋" w:eastAsia="仿宋"/>
                <w:b/>
                <w:color w:val="auto"/>
                <w:sz w:val="24"/>
                <w:szCs w:val="24"/>
              </w:rPr>
            </w:pPr>
            <w:r>
              <w:rPr>
                <w:rFonts w:hint="eastAsia" w:ascii="仿宋" w:hAnsi="仿宋" w:eastAsia="仿宋"/>
                <w:b/>
                <w:color w:val="auto"/>
                <w:sz w:val="24"/>
                <w:szCs w:val="24"/>
              </w:rPr>
              <w:t>序号</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202A819F">
            <w:pPr>
              <w:spacing w:line="440" w:lineRule="exact"/>
              <w:jc w:val="center"/>
              <w:rPr>
                <w:rFonts w:hint="eastAsia" w:ascii="仿宋" w:hAnsi="仿宋" w:eastAsia="仿宋"/>
                <w:b/>
                <w:color w:val="auto"/>
                <w:sz w:val="24"/>
                <w:szCs w:val="24"/>
              </w:rPr>
            </w:pPr>
            <w:r>
              <w:rPr>
                <w:rFonts w:hint="eastAsia" w:ascii="仿宋" w:hAnsi="仿宋" w:eastAsia="仿宋"/>
                <w:b/>
                <w:color w:val="auto"/>
                <w:sz w:val="24"/>
                <w:szCs w:val="24"/>
              </w:rPr>
              <w:t>单位名称</w:t>
            </w:r>
          </w:p>
        </w:tc>
        <w:tc>
          <w:tcPr>
            <w:tcW w:w="1857" w:type="dxa"/>
            <w:tcBorders>
              <w:top w:val="single" w:color="auto" w:sz="4" w:space="0"/>
              <w:left w:val="nil"/>
              <w:bottom w:val="single" w:color="auto" w:sz="4" w:space="0"/>
              <w:right w:val="single" w:color="auto" w:sz="4" w:space="0"/>
            </w:tcBorders>
            <w:noWrap w:val="0"/>
            <w:vAlign w:val="center"/>
          </w:tcPr>
          <w:p w14:paraId="0E362EA1">
            <w:pPr>
              <w:spacing w:line="440" w:lineRule="exact"/>
              <w:jc w:val="center"/>
              <w:rPr>
                <w:rFonts w:ascii="仿宋" w:hAnsi="仿宋" w:eastAsia="仿宋"/>
                <w:b/>
                <w:color w:val="auto"/>
                <w:sz w:val="24"/>
                <w:szCs w:val="24"/>
              </w:rPr>
            </w:pPr>
            <w:r>
              <w:rPr>
                <w:rFonts w:hint="eastAsia" w:ascii="仿宋" w:hAnsi="仿宋" w:eastAsia="仿宋"/>
                <w:b/>
                <w:color w:val="auto"/>
                <w:sz w:val="24"/>
                <w:szCs w:val="24"/>
              </w:rPr>
              <w:t>审计费</w:t>
            </w:r>
            <w:r>
              <w:rPr>
                <w:rFonts w:ascii="仿宋" w:hAnsi="仿宋" w:eastAsia="仿宋"/>
                <w:b/>
                <w:color w:val="auto"/>
                <w:sz w:val="24"/>
                <w:szCs w:val="24"/>
              </w:rPr>
              <w:t>金额</w:t>
            </w:r>
          </w:p>
          <w:p w14:paraId="3BA1201D">
            <w:pPr>
              <w:spacing w:line="440" w:lineRule="exact"/>
              <w:jc w:val="center"/>
              <w:rPr>
                <w:rFonts w:hint="eastAsia" w:ascii="仿宋" w:hAnsi="仿宋" w:eastAsia="仿宋"/>
                <w:b/>
                <w:color w:val="auto"/>
                <w:sz w:val="24"/>
                <w:szCs w:val="24"/>
              </w:rPr>
            </w:pPr>
            <w:r>
              <w:rPr>
                <w:rFonts w:hint="eastAsia" w:ascii="仿宋" w:hAnsi="仿宋" w:eastAsia="仿宋"/>
                <w:b/>
                <w:color w:val="auto"/>
                <w:sz w:val="24"/>
                <w:szCs w:val="24"/>
              </w:rPr>
              <w:t>（万元）</w:t>
            </w:r>
          </w:p>
        </w:tc>
        <w:tc>
          <w:tcPr>
            <w:tcW w:w="1581" w:type="dxa"/>
            <w:tcBorders>
              <w:top w:val="single" w:color="auto" w:sz="4" w:space="0"/>
              <w:left w:val="nil"/>
              <w:bottom w:val="single" w:color="auto" w:sz="4" w:space="0"/>
              <w:right w:val="single" w:color="auto" w:sz="4" w:space="0"/>
            </w:tcBorders>
            <w:noWrap w:val="0"/>
            <w:vAlign w:val="top"/>
          </w:tcPr>
          <w:p w14:paraId="105109C3">
            <w:pPr>
              <w:spacing w:line="440" w:lineRule="exact"/>
              <w:jc w:val="center"/>
              <w:rPr>
                <w:rFonts w:hint="eastAsia" w:ascii="仿宋" w:hAnsi="仿宋" w:eastAsia="仿宋"/>
                <w:b/>
                <w:color w:val="auto"/>
                <w:sz w:val="24"/>
                <w:szCs w:val="24"/>
              </w:rPr>
            </w:pPr>
            <w:r>
              <w:rPr>
                <w:rFonts w:hint="eastAsia" w:ascii="仿宋" w:hAnsi="仿宋" w:eastAsia="仿宋"/>
                <w:b/>
                <w:color w:val="auto"/>
                <w:sz w:val="24"/>
                <w:szCs w:val="24"/>
              </w:rPr>
              <w:t>第一期支付金额（万元）</w:t>
            </w:r>
          </w:p>
        </w:tc>
        <w:tc>
          <w:tcPr>
            <w:tcW w:w="1600" w:type="dxa"/>
            <w:tcBorders>
              <w:top w:val="single" w:color="auto" w:sz="4" w:space="0"/>
              <w:left w:val="nil"/>
              <w:bottom w:val="single" w:color="auto" w:sz="4" w:space="0"/>
              <w:right w:val="single" w:color="auto" w:sz="4" w:space="0"/>
            </w:tcBorders>
            <w:noWrap w:val="0"/>
            <w:vAlign w:val="top"/>
          </w:tcPr>
          <w:p w14:paraId="3894C28F">
            <w:pPr>
              <w:spacing w:line="440" w:lineRule="exact"/>
              <w:jc w:val="center"/>
              <w:rPr>
                <w:rFonts w:hint="eastAsia" w:ascii="仿宋" w:hAnsi="仿宋" w:eastAsia="仿宋"/>
                <w:b/>
                <w:color w:val="auto"/>
                <w:sz w:val="24"/>
                <w:szCs w:val="24"/>
              </w:rPr>
            </w:pPr>
            <w:r>
              <w:rPr>
                <w:rFonts w:hint="eastAsia" w:ascii="仿宋" w:hAnsi="仿宋" w:eastAsia="仿宋"/>
                <w:b/>
                <w:color w:val="auto"/>
                <w:sz w:val="24"/>
                <w:szCs w:val="24"/>
              </w:rPr>
              <w:t>第二期支付金额（万元）</w:t>
            </w:r>
          </w:p>
        </w:tc>
      </w:tr>
      <w:tr w14:paraId="508496CA">
        <w:tblPrEx>
          <w:tblCellMar>
            <w:top w:w="0" w:type="dxa"/>
            <w:left w:w="108" w:type="dxa"/>
            <w:bottom w:w="0" w:type="dxa"/>
            <w:right w:w="108" w:type="dxa"/>
          </w:tblCellMar>
        </w:tblPrEx>
        <w:trPr>
          <w:trHeight w:val="839" w:hRule="atLeast"/>
          <w:tblHeader/>
        </w:trPr>
        <w:tc>
          <w:tcPr>
            <w:tcW w:w="710" w:type="dxa"/>
            <w:tcBorders>
              <w:top w:val="single" w:color="auto" w:sz="4" w:space="0"/>
              <w:left w:val="single" w:color="auto" w:sz="4" w:space="0"/>
              <w:right w:val="single" w:color="auto" w:sz="4" w:space="0"/>
            </w:tcBorders>
            <w:noWrap w:val="0"/>
            <w:vAlign w:val="center"/>
          </w:tcPr>
          <w:p w14:paraId="59D1F727">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1</w:t>
            </w:r>
          </w:p>
        </w:tc>
        <w:tc>
          <w:tcPr>
            <w:tcW w:w="3557" w:type="dxa"/>
            <w:tcBorders>
              <w:top w:val="single" w:color="auto" w:sz="4" w:space="0"/>
              <w:left w:val="single" w:color="auto" w:sz="4" w:space="0"/>
              <w:right w:val="single" w:color="auto" w:sz="4" w:space="0"/>
            </w:tcBorders>
            <w:noWrap w:val="0"/>
            <w:vAlign w:val="center"/>
          </w:tcPr>
          <w:p w14:paraId="62577EEB">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广西中马钦州产业园区开发有限公司</w:t>
            </w:r>
          </w:p>
        </w:tc>
        <w:tc>
          <w:tcPr>
            <w:tcW w:w="1857" w:type="dxa"/>
            <w:tcBorders>
              <w:top w:val="single" w:color="auto" w:sz="4" w:space="0"/>
              <w:left w:val="nil"/>
              <w:right w:val="single" w:color="auto" w:sz="4" w:space="0"/>
            </w:tcBorders>
            <w:noWrap w:val="0"/>
            <w:vAlign w:val="center"/>
          </w:tcPr>
          <w:p w14:paraId="735B9626">
            <w:pPr>
              <w:spacing w:line="440" w:lineRule="exact"/>
              <w:jc w:val="center"/>
              <w:rPr>
                <w:rFonts w:ascii="仿宋" w:hAnsi="仿宋" w:eastAsia="仿宋"/>
                <w:color w:val="auto"/>
                <w:sz w:val="24"/>
                <w:szCs w:val="24"/>
              </w:rPr>
            </w:pPr>
          </w:p>
        </w:tc>
        <w:tc>
          <w:tcPr>
            <w:tcW w:w="1581" w:type="dxa"/>
            <w:tcBorders>
              <w:top w:val="single" w:color="auto" w:sz="4" w:space="0"/>
              <w:left w:val="nil"/>
              <w:right w:val="single" w:color="auto" w:sz="4" w:space="0"/>
            </w:tcBorders>
            <w:noWrap w:val="0"/>
            <w:vAlign w:val="center"/>
          </w:tcPr>
          <w:p w14:paraId="26B1686B">
            <w:pPr>
              <w:spacing w:line="440" w:lineRule="exact"/>
              <w:jc w:val="center"/>
              <w:rPr>
                <w:rFonts w:ascii="仿宋" w:hAnsi="仿宋" w:eastAsia="仿宋"/>
                <w:color w:val="auto"/>
                <w:sz w:val="24"/>
                <w:szCs w:val="24"/>
              </w:rPr>
            </w:pPr>
          </w:p>
        </w:tc>
        <w:tc>
          <w:tcPr>
            <w:tcW w:w="1600" w:type="dxa"/>
            <w:tcBorders>
              <w:top w:val="single" w:color="auto" w:sz="4" w:space="0"/>
              <w:left w:val="nil"/>
              <w:right w:val="single" w:color="auto" w:sz="4" w:space="0"/>
            </w:tcBorders>
            <w:noWrap w:val="0"/>
            <w:vAlign w:val="center"/>
          </w:tcPr>
          <w:p w14:paraId="2BACB372">
            <w:pPr>
              <w:spacing w:line="440" w:lineRule="exact"/>
              <w:jc w:val="center"/>
              <w:rPr>
                <w:rFonts w:ascii="仿宋" w:hAnsi="仿宋" w:eastAsia="仿宋"/>
                <w:color w:val="auto"/>
                <w:sz w:val="24"/>
                <w:szCs w:val="24"/>
              </w:rPr>
            </w:pPr>
          </w:p>
        </w:tc>
      </w:tr>
      <w:tr w14:paraId="06B86FFB">
        <w:tblPrEx>
          <w:tblCellMar>
            <w:top w:w="0" w:type="dxa"/>
            <w:left w:w="108" w:type="dxa"/>
            <w:bottom w:w="0" w:type="dxa"/>
            <w:right w:w="108" w:type="dxa"/>
          </w:tblCellMar>
        </w:tblPrEx>
        <w:trPr>
          <w:trHeight w:val="726"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76A818EB">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2</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08C8F290">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广西孔雀湾投资开发有限公司</w:t>
            </w:r>
          </w:p>
        </w:tc>
        <w:tc>
          <w:tcPr>
            <w:tcW w:w="1857" w:type="dxa"/>
            <w:tcBorders>
              <w:top w:val="single" w:color="auto" w:sz="4" w:space="0"/>
              <w:left w:val="nil"/>
              <w:bottom w:val="single" w:color="auto" w:sz="4" w:space="0"/>
              <w:right w:val="single" w:color="auto" w:sz="4" w:space="0"/>
            </w:tcBorders>
            <w:noWrap w:val="0"/>
            <w:vAlign w:val="center"/>
          </w:tcPr>
          <w:p w14:paraId="46EB9E0A">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4A3E6FD4">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4FAB0DAA">
            <w:pPr>
              <w:spacing w:line="440" w:lineRule="exact"/>
              <w:jc w:val="center"/>
              <w:rPr>
                <w:rFonts w:ascii="仿宋" w:hAnsi="仿宋" w:eastAsia="仿宋"/>
                <w:color w:val="auto"/>
                <w:sz w:val="24"/>
                <w:szCs w:val="24"/>
              </w:rPr>
            </w:pPr>
          </w:p>
        </w:tc>
      </w:tr>
      <w:tr w14:paraId="47569E92">
        <w:tblPrEx>
          <w:tblCellMar>
            <w:top w:w="0" w:type="dxa"/>
            <w:left w:w="108" w:type="dxa"/>
            <w:bottom w:w="0" w:type="dxa"/>
            <w:right w:w="108" w:type="dxa"/>
          </w:tblCellMar>
        </w:tblPrEx>
        <w:trPr>
          <w:trHeight w:val="839"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1BD82BB6">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3</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7CBA6E23">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广西钦州孔雀湾物业服务有限公司</w:t>
            </w:r>
          </w:p>
        </w:tc>
        <w:tc>
          <w:tcPr>
            <w:tcW w:w="1857" w:type="dxa"/>
            <w:tcBorders>
              <w:top w:val="single" w:color="auto" w:sz="4" w:space="0"/>
              <w:left w:val="nil"/>
              <w:bottom w:val="single" w:color="auto" w:sz="4" w:space="0"/>
              <w:right w:val="single" w:color="auto" w:sz="4" w:space="0"/>
            </w:tcBorders>
            <w:noWrap w:val="0"/>
            <w:vAlign w:val="center"/>
          </w:tcPr>
          <w:p w14:paraId="175B95E7">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0E30A9D1">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3A24A700">
            <w:pPr>
              <w:spacing w:line="440" w:lineRule="exact"/>
              <w:jc w:val="center"/>
              <w:rPr>
                <w:rFonts w:ascii="仿宋" w:hAnsi="仿宋" w:eastAsia="仿宋"/>
                <w:color w:val="auto"/>
                <w:sz w:val="24"/>
                <w:szCs w:val="24"/>
              </w:rPr>
            </w:pPr>
          </w:p>
        </w:tc>
      </w:tr>
      <w:tr w14:paraId="224C4495">
        <w:tblPrEx>
          <w:tblCellMar>
            <w:top w:w="0" w:type="dxa"/>
            <w:left w:w="108" w:type="dxa"/>
            <w:bottom w:w="0" w:type="dxa"/>
            <w:right w:w="108" w:type="dxa"/>
          </w:tblCellMar>
        </w:tblPrEx>
        <w:trPr>
          <w:trHeight w:val="839"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5023B591">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4</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1902F5EC">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广西中马钦州产业园区孔雀湾混凝土有限公司</w:t>
            </w:r>
          </w:p>
        </w:tc>
        <w:tc>
          <w:tcPr>
            <w:tcW w:w="1857" w:type="dxa"/>
            <w:tcBorders>
              <w:top w:val="single" w:color="auto" w:sz="4" w:space="0"/>
              <w:left w:val="nil"/>
              <w:bottom w:val="single" w:color="auto" w:sz="4" w:space="0"/>
              <w:right w:val="single" w:color="auto" w:sz="4" w:space="0"/>
            </w:tcBorders>
            <w:noWrap w:val="0"/>
            <w:vAlign w:val="center"/>
          </w:tcPr>
          <w:p w14:paraId="514BEC0E">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5D61FE9E">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26A346E3">
            <w:pPr>
              <w:spacing w:line="440" w:lineRule="exact"/>
              <w:jc w:val="center"/>
              <w:rPr>
                <w:rFonts w:ascii="仿宋" w:hAnsi="仿宋" w:eastAsia="仿宋"/>
                <w:color w:val="auto"/>
                <w:sz w:val="24"/>
                <w:szCs w:val="24"/>
              </w:rPr>
            </w:pPr>
          </w:p>
        </w:tc>
      </w:tr>
      <w:tr w14:paraId="4FC6EAEB">
        <w:tblPrEx>
          <w:tblCellMar>
            <w:top w:w="0" w:type="dxa"/>
            <w:left w:w="108" w:type="dxa"/>
            <w:bottom w:w="0" w:type="dxa"/>
            <w:right w:w="108" w:type="dxa"/>
          </w:tblCellMar>
        </w:tblPrEx>
        <w:trPr>
          <w:trHeight w:val="726"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58E6DB01">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5</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58E6EACF">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广西孔雀湾建设工程有限公司</w:t>
            </w:r>
          </w:p>
        </w:tc>
        <w:tc>
          <w:tcPr>
            <w:tcW w:w="1857" w:type="dxa"/>
            <w:tcBorders>
              <w:top w:val="single" w:color="auto" w:sz="4" w:space="0"/>
              <w:left w:val="nil"/>
              <w:bottom w:val="single" w:color="auto" w:sz="4" w:space="0"/>
              <w:right w:val="single" w:color="auto" w:sz="4" w:space="0"/>
            </w:tcBorders>
            <w:noWrap w:val="0"/>
            <w:vAlign w:val="center"/>
          </w:tcPr>
          <w:p w14:paraId="2931F738">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3A3EA91A">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43713D5C">
            <w:pPr>
              <w:spacing w:line="440" w:lineRule="exact"/>
              <w:jc w:val="center"/>
              <w:rPr>
                <w:rFonts w:ascii="仿宋" w:hAnsi="仿宋" w:eastAsia="仿宋"/>
                <w:color w:val="auto"/>
                <w:sz w:val="24"/>
                <w:szCs w:val="24"/>
              </w:rPr>
            </w:pPr>
          </w:p>
        </w:tc>
      </w:tr>
      <w:tr w14:paraId="65A59F70">
        <w:trPr>
          <w:trHeight w:val="839"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70A249F1">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6</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2D681848">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广西中马钦丹产业服务有限公司</w:t>
            </w:r>
          </w:p>
        </w:tc>
        <w:tc>
          <w:tcPr>
            <w:tcW w:w="1857" w:type="dxa"/>
            <w:tcBorders>
              <w:top w:val="single" w:color="auto" w:sz="4" w:space="0"/>
              <w:left w:val="nil"/>
              <w:bottom w:val="single" w:color="auto" w:sz="4" w:space="0"/>
              <w:right w:val="single" w:color="auto" w:sz="4" w:space="0"/>
            </w:tcBorders>
            <w:noWrap w:val="0"/>
            <w:vAlign w:val="center"/>
          </w:tcPr>
          <w:p w14:paraId="2ADC7D6C">
            <w:pPr>
              <w:spacing w:line="440" w:lineRule="exact"/>
              <w:jc w:val="center"/>
              <w:rPr>
                <w:rFonts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67C3FE05">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59A7C9D8">
            <w:pPr>
              <w:spacing w:line="440" w:lineRule="exact"/>
              <w:jc w:val="center"/>
              <w:rPr>
                <w:rFonts w:ascii="仿宋" w:hAnsi="仿宋" w:eastAsia="仿宋"/>
                <w:color w:val="auto"/>
                <w:sz w:val="24"/>
                <w:szCs w:val="24"/>
              </w:rPr>
            </w:pPr>
          </w:p>
        </w:tc>
      </w:tr>
      <w:tr w14:paraId="604CD97D">
        <w:tblPrEx>
          <w:tblCellMar>
            <w:top w:w="0" w:type="dxa"/>
            <w:left w:w="108" w:type="dxa"/>
            <w:bottom w:w="0" w:type="dxa"/>
            <w:right w:w="108" w:type="dxa"/>
          </w:tblCellMar>
        </w:tblPrEx>
        <w:trPr>
          <w:trHeight w:val="726"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222BBCAC">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7</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07D1CF9D">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广西中马孔雀湾石油有限公司</w:t>
            </w:r>
          </w:p>
        </w:tc>
        <w:tc>
          <w:tcPr>
            <w:tcW w:w="1857" w:type="dxa"/>
            <w:tcBorders>
              <w:top w:val="single" w:color="auto" w:sz="4" w:space="0"/>
              <w:left w:val="nil"/>
              <w:bottom w:val="single" w:color="auto" w:sz="4" w:space="0"/>
              <w:right w:val="single" w:color="auto" w:sz="4" w:space="0"/>
            </w:tcBorders>
            <w:noWrap w:val="0"/>
            <w:vAlign w:val="center"/>
          </w:tcPr>
          <w:p w14:paraId="13BC904E">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3D0D8D16">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1C35D846">
            <w:pPr>
              <w:spacing w:line="440" w:lineRule="exact"/>
              <w:jc w:val="center"/>
              <w:rPr>
                <w:rFonts w:ascii="仿宋" w:hAnsi="仿宋" w:eastAsia="仿宋"/>
                <w:color w:val="auto"/>
                <w:sz w:val="24"/>
                <w:szCs w:val="24"/>
              </w:rPr>
            </w:pPr>
          </w:p>
        </w:tc>
      </w:tr>
      <w:tr w14:paraId="1300F77C">
        <w:tblPrEx>
          <w:tblCellMar>
            <w:top w:w="0" w:type="dxa"/>
            <w:left w:w="108" w:type="dxa"/>
            <w:bottom w:w="0" w:type="dxa"/>
            <w:right w:w="108" w:type="dxa"/>
          </w:tblCellMar>
        </w:tblPrEx>
        <w:trPr>
          <w:trHeight w:val="726"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5DF87CF5">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8</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7629E7C6">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广西中马钦海石油有限公司</w:t>
            </w:r>
          </w:p>
        </w:tc>
        <w:tc>
          <w:tcPr>
            <w:tcW w:w="1857" w:type="dxa"/>
            <w:tcBorders>
              <w:top w:val="single" w:color="auto" w:sz="4" w:space="0"/>
              <w:left w:val="nil"/>
              <w:bottom w:val="single" w:color="auto" w:sz="4" w:space="0"/>
              <w:right w:val="single" w:color="auto" w:sz="4" w:space="0"/>
            </w:tcBorders>
            <w:noWrap w:val="0"/>
            <w:vAlign w:val="center"/>
          </w:tcPr>
          <w:p w14:paraId="448774E6">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1EEAA32A">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4B02BD2C">
            <w:pPr>
              <w:spacing w:line="440" w:lineRule="exact"/>
              <w:jc w:val="center"/>
              <w:rPr>
                <w:rFonts w:ascii="仿宋" w:hAnsi="仿宋" w:eastAsia="仿宋"/>
                <w:color w:val="auto"/>
                <w:sz w:val="24"/>
                <w:szCs w:val="24"/>
              </w:rPr>
            </w:pPr>
          </w:p>
        </w:tc>
      </w:tr>
      <w:tr w14:paraId="6090AE68">
        <w:tblPrEx>
          <w:tblCellMar>
            <w:top w:w="0" w:type="dxa"/>
            <w:left w:w="108" w:type="dxa"/>
            <w:bottom w:w="0" w:type="dxa"/>
            <w:right w:w="108" w:type="dxa"/>
          </w:tblCellMar>
        </w:tblPrEx>
        <w:trPr>
          <w:trHeight w:val="839"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0BB4A5F0">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9</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1820147E">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广西孔雀湾友谊投资开发有限公司</w:t>
            </w:r>
          </w:p>
        </w:tc>
        <w:tc>
          <w:tcPr>
            <w:tcW w:w="1857" w:type="dxa"/>
            <w:tcBorders>
              <w:top w:val="single" w:color="auto" w:sz="4" w:space="0"/>
              <w:left w:val="nil"/>
              <w:bottom w:val="single" w:color="auto" w:sz="4" w:space="0"/>
              <w:right w:val="single" w:color="auto" w:sz="4" w:space="0"/>
            </w:tcBorders>
            <w:noWrap w:val="0"/>
            <w:vAlign w:val="center"/>
          </w:tcPr>
          <w:p w14:paraId="3D4837A9">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5126152D">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2A37EF32">
            <w:pPr>
              <w:spacing w:line="440" w:lineRule="exact"/>
              <w:jc w:val="center"/>
              <w:rPr>
                <w:rFonts w:ascii="仿宋" w:hAnsi="仿宋" w:eastAsia="仿宋"/>
                <w:color w:val="auto"/>
                <w:sz w:val="24"/>
                <w:szCs w:val="24"/>
              </w:rPr>
            </w:pPr>
          </w:p>
        </w:tc>
      </w:tr>
      <w:tr w14:paraId="63B7A3AD">
        <w:tblPrEx>
          <w:tblCellMar>
            <w:top w:w="0" w:type="dxa"/>
            <w:left w:w="108" w:type="dxa"/>
            <w:bottom w:w="0" w:type="dxa"/>
            <w:right w:w="108" w:type="dxa"/>
          </w:tblCellMar>
        </w:tblPrEx>
        <w:trPr>
          <w:trHeight w:val="839" w:hRule="atLeast"/>
          <w:tblHeader/>
        </w:trPr>
        <w:tc>
          <w:tcPr>
            <w:tcW w:w="710" w:type="dxa"/>
            <w:tcBorders>
              <w:top w:val="single" w:color="auto" w:sz="4" w:space="0"/>
              <w:left w:val="single" w:color="auto" w:sz="4" w:space="0"/>
              <w:bottom w:val="single" w:color="auto" w:sz="4" w:space="0"/>
              <w:right w:val="single" w:color="auto" w:sz="4" w:space="0"/>
            </w:tcBorders>
            <w:noWrap w:val="0"/>
            <w:vAlign w:val="center"/>
          </w:tcPr>
          <w:p w14:paraId="0BAC02BD">
            <w:pPr>
              <w:spacing w:line="440" w:lineRule="exact"/>
              <w:jc w:val="center"/>
              <w:rPr>
                <w:rFonts w:hint="eastAsia" w:ascii="仿宋" w:hAnsi="仿宋" w:eastAsia="仿宋"/>
                <w:color w:val="auto"/>
                <w:sz w:val="24"/>
                <w:szCs w:val="24"/>
              </w:rPr>
            </w:pPr>
            <w:r>
              <w:rPr>
                <w:rFonts w:hint="eastAsia" w:ascii="仿宋" w:hAnsi="仿宋" w:eastAsia="仿宋"/>
                <w:color w:val="auto"/>
                <w:sz w:val="24"/>
                <w:szCs w:val="24"/>
              </w:rPr>
              <w:t>10</w:t>
            </w:r>
          </w:p>
        </w:tc>
        <w:tc>
          <w:tcPr>
            <w:tcW w:w="3557" w:type="dxa"/>
            <w:tcBorders>
              <w:top w:val="single" w:color="auto" w:sz="4" w:space="0"/>
              <w:left w:val="single" w:color="auto" w:sz="4" w:space="0"/>
              <w:bottom w:val="single" w:color="auto" w:sz="4" w:space="0"/>
              <w:right w:val="single" w:color="auto" w:sz="4" w:space="0"/>
            </w:tcBorders>
            <w:noWrap w:val="0"/>
            <w:vAlign w:val="center"/>
          </w:tcPr>
          <w:p w14:paraId="6AEEE73D">
            <w:pPr>
              <w:keepNext w:val="0"/>
              <w:keepLines w:val="0"/>
              <w:widowControl/>
              <w:suppressLineNumbers w:val="0"/>
              <w:jc w:val="left"/>
              <w:textAlignment w:val="center"/>
              <w:rPr>
                <w:rFonts w:hint="eastAsia" w:ascii="仿宋" w:hAnsi="仿宋" w:eastAsia="仿宋" w:cs="仿宋"/>
                <w:color w:val="auto"/>
                <w:sz w:val="24"/>
                <w:szCs w:val="24"/>
              </w:rPr>
            </w:pPr>
            <w:r>
              <w:rPr>
                <w:rFonts w:hint="eastAsia" w:ascii="仿宋" w:hAnsi="仿宋" w:eastAsia="仿宋" w:cs="仿宋"/>
                <w:i w:val="0"/>
                <w:iCs w:val="0"/>
                <w:color w:val="000000"/>
                <w:kern w:val="0"/>
                <w:sz w:val="24"/>
                <w:szCs w:val="24"/>
                <w:u w:val="none"/>
                <w:lang w:val="en-US" w:eastAsia="zh-CN" w:bidi="ar"/>
              </w:rPr>
              <w:t>广西孔雀湾锦绣投资开发有限公司</w:t>
            </w:r>
          </w:p>
        </w:tc>
        <w:tc>
          <w:tcPr>
            <w:tcW w:w="1857" w:type="dxa"/>
            <w:tcBorders>
              <w:top w:val="single" w:color="auto" w:sz="4" w:space="0"/>
              <w:left w:val="nil"/>
              <w:bottom w:val="single" w:color="auto" w:sz="4" w:space="0"/>
              <w:right w:val="single" w:color="auto" w:sz="4" w:space="0"/>
            </w:tcBorders>
            <w:noWrap w:val="0"/>
            <w:vAlign w:val="center"/>
          </w:tcPr>
          <w:p w14:paraId="115B0CF7">
            <w:pPr>
              <w:spacing w:line="440" w:lineRule="exact"/>
              <w:jc w:val="center"/>
              <w:rPr>
                <w:rFonts w:hint="eastAsia" w:ascii="仿宋" w:hAnsi="仿宋" w:eastAsia="仿宋"/>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2B4C809B">
            <w:pPr>
              <w:spacing w:line="440" w:lineRule="exact"/>
              <w:jc w:val="center"/>
              <w:rPr>
                <w:rFonts w:ascii="仿宋" w:hAnsi="仿宋" w:eastAsia="仿宋"/>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3AB69D2D">
            <w:pPr>
              <w:spacing w:line="440" w:lineRule="exact"/>
              <w:jc w:val="center"/>
              <w:rPr>
                <w:rFonts w:ascii="仿宋" w:hAnsi="仿宋" w:eastAsia="仿宋"/>
                <w:color w:val="auto"/>
                <w:sz w:val="24"/>
                <w:szCs w:val="24"/>
              </w:rPr>
            </w:pPr>
          </w:p>
        </w:tc>
      </w:tr>
      <w:tr w14:paraId="6A21FDA7">
        <w:tblPrEx>
          <w:tblCellMar>
            <w:top w:w="0" w:type="dxa"/>
            <w:left w:w="108" w:type="dxa"/>
            <w:bottom w:w="0" w:type="dxa"/>
            <w:right w:w="108" w:type="dxa"/>
          </w:tblCellMar>
        </w:tblPrEx>
        <w:trPr>
          <w:trHeight w:val="893" w:hRule="atLeast"/>
          <w:tblHeader/>
        </w:trPr>
        <w:tc>
          <w:tcPr>
            <w:tcW w:w="4267" w:type="dxa"/>
            <w:gridSpan w:val="2"/>
            <w:tcBorders>
              <w:top w:val="single" w:color="auto" w:sz="4" w:space="0"/>
              <w:left w:val="single" w:color="auto" w:sz="4" w:space="0"/>
              <w:bottom w:val="single" w:color="auto" w:sz="4" w:space="0"/>
              <w:right w:val="single" w:color="auto" w:sz="4" w:space="0"/>
            </w:tcBorders>
            <w:noWrap w:val="0"/>
            <w:vAlign w:val="center"/>
          </w:tcPr>
          <w:p w14:paraId="32B40BA7">
            <w:pPr>
              <w:spacing w:line="440" w:lineRule="exact"/>
              <w:jc w:val="center"/>
              <w:rPr>
                <w:rFonts w:hint="eastAsia" w:ascii="仿宋" w:hAnsi="仿宋" w:eastAsia="仿宋"/>
                <w:b/>
                <w:bCs/>
                <w:color w:val="auto"/>
                <w:sz w:val="24"/>
                <w:szCs w:val="24"/>
              </w:rPr>
            </w:pPr>
            <w:r>
              <w:rPr>
                <w:rFonts w:hint="eastAsia" w:ascii="仿宋" w:hAnsi="仿宋" w:eastAsia="仿宋"/>
                <w:b/>
                <w:bCs/>
                <w:color w:val="auto"/>
                <w:sz w:val="24"/>
                <w:szCs w:val="24"/>
              </w:rPr>
              <w:t>合计</w:t>
            </w:r>
          </w:p>
        </w:tc>
        <w:tc>
          <w:tcPr>
            <w:tcW w:w="1857" w:type="dxa"/>
            <w:tcBorders>
              <w:top w:val="single" w:color="auto" w:sz="4" w:space="0"/>
              <w:left w:val="nil"/>
              <w:bottom w:val="single" w:color="auto" w:sz="4" w:space="0"/>
              <w:right w:val="single" w:color="auto" w:sz="4" w:space="0"/>
            </w:tcBorders>
            <w:noWrap w:val="0"/>
            <w:vAlign w:val="center"/>
          </w:tcPr>
          <w:p w14:paraId="413FDC23">
            <w:pPr>
              <w:spacing w:line="440" w:lineRule="exact"/>
              <w:jc w:val="center"/>
              <w:rPr>
                <w:rFonts w:hint="eastAsia" w:ascii="仿宋" w:hAnsi="仿宋" w:eastAsia="仿宋"/>
                <w:b/>
                <w:bCs/>
                <w:color w:val="auto"/>
                <w:sz w:val="24"/>
                <w:szCs w:val="24"/>
              </w:rPr>
            </w:pPr>
          </w:p>
        </w:tc>
        <w:tc>
          <w:tcPr>
            <w:tcW w:w="1581" w:type="dxa"/>
            <w:tcBorders>
              <w:top w:val="single" w:color="auto" w:sz="4" w:space="0"/>
              <w:left w:val="nil"/>
              <w:bottom w:val="single" w:color="auto" w:sz="4" w:space="0"/>
              <w:right w:val="single" w:color="auto" w:sz="4" w:space="0"/>
            </w:tcBorders>
            <w:noWrap w:val="0"/>
            <w:vAlign w:val="center"/>
          </w:tcPr>
          <w:p w14:paraId="26A3285F">
            <w:pPr>
              <w:spacing w:line="440" w:lineRule="exact"/>
              <w:jc w:val="center"/>
              <w:rPr>
                <w:rFonts w:ascii="仿宋" w:hAnsi="仿宋" w:eastAsia="仿宋"/>
                <w:b/>
                <w:bCs/>
                <w:color w:val="auto"/>
                <w:sz w:val="24"/>
                <w:szCs w:val="24"/>
              </w:rPr>
            </w:pPr>
          </w:p>
        </w:tc>
        <w:tc>
          <w:tcPr>
            <w:tcW w:w="1600" w:type="dxa"/>
            <w:tcBorders>
              <w:top w:val="single" w:color="auto" w:sz="4" w:space="0"/>
              <w:left w:val="nil"/>
              <w:bottom w:val="single" w:color="auto" w:sz="4" w:space="0"/>
              <w:right w:val="single" w:color="auto" w:sz="4" w:space="0"/>
            </w:tcBorders>
            <w:noWrap w:val="0"/>
            <w:vAlign w:val="center"/>
          </w:tcPr>
          <w:p w14:paraId="1FF961DD">
            <w:pPr>
              <w:spacing w:line="440" w:lineRule="exact"/>
              <w:jc w:val="center"/>
              <w:rPr>
                <w:rFonts w:ascii="仿宋" w:hAnsi="仿宋" w:eastAsia="仿宋"/>
                <w:b/>
                <w:bCs/>
                <w:color w:val="auto"/>
                <w:sz w:val="24"/>
                <w:szCs w:val="24"/>
              </w:rPr>
            </w:pPr>
          </w:p>
        </w:tc>
      </w:tr>
    </w:tbl>
    <w:p w14:paraId="5C7A63CD">
      <w:pPr>
        <w:keepNext w:val="0"/>
        <w:keepLines w:val="0"/>
        <w:pageBreakBefore/>
        <w:widowControl w:val="0"/>
        <w:tabs>
          <w:tab w:val="left" w:pos="0"/>
        </w:tabs>
        <w:kinsoku/>
        <w:wordWrap/>
        <w:overflowPunct/>
        <w:topLinePunct w:val="0"/>
        <w:autoSpaceDE/>
        <w:autoSpaceDN/>
        <w:bidi w:val="0"/>
        <w:adjustRightInd/>
        <w:snapToGrid/>
        <w:spacing w:after="79" w:afterLines="25" w:line="360" w:lineRule="auto"/>
        <w:textAlignment w:val="auto"/>
        <w:rPr>
          <w:rFonts w:ascii="仿宋_GB2312" w:eastAsia="仿宋_GB2312"/>
          <w:b/>
          <w:bCs/>
          <w:color w:val="auto"/>
          <w:sz w:val="24"/>
          <w:szCs w:val="24"/>
        </w:rPr>
      </w:pPr>
      <w:r>
        <w:rPr>
          <w:rFonts w:ascii="仿宋_GB2312" w:eastAsia="仿宋_GB2312"/>
          <w:b/>
          <w:bCs/>
          <w:color w:val="auto"/>
          <w:sz w:val="24"/>
          <w:szCs w:val="24"/>
        </w:rPr>
        <w:t>3</w:t>
      </w:r>
      <w:r>
        <w:rPr>
          <w:rFonts w:hint="eastAsia" w:ascii="仿宋_GB2312" w:eastAsia="仿宋_GB2312"/>
          <w:b/>
          <w:bCs/>
          <w:color w:val="auto"/>
          <w:sz w:val="24"/>
          <w:szCs w:val="24"/>
        </w:rPr>
        <w:t>、本次审计组名单</w:t>
      </w:r>
    </w:p>
    <w:tbl>
      <w:tblPr>
        <w:tblStyle w:val="6"/>
        <w:tblW w:w="8637" w:type="dxa"/>
        <w:tblInd w:w="119"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613"/>
        <w:gridCol w:w="1078"/>
        <w:gridCol w:w="709"/>
        <w:gridCol w:w="851"/>
        <w:gridCol w:w="1080"/>
        <w:gridCol w:w="3042"/>
        <w:gridCol w:w="1264"/>
      </w:tblGrid>
      <w:tr w14:paraId="374C9C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59" w:hRule="atLeast"/>
        </w:trPr>
        <w:tc>
          <w:tcPr>
            <w:tcW w:w="613" w:type="dxa"/>
            <w:tcBorders>
              <w:tl2br w:val="nil"/>
              <w:tr2bl w:val="nil"/>
            </w:tcBorders>
            <w:noWrap w:val="0"/>
            <w:vAlign w:val="center"/>
          </w:tcPr>
          <w:p w14:paraId="329E3F7A">
            <w:pPr>
              <w:keepNext w:val="0"/>
              <w:keepLines w:val="0"/>
              <w:pageBreakBefore w:val="0"/>
              <w:widowControl/>
              <w:kinsoku/>
              <w:wordWrap/>
              <w:overflowPunct/>
              <w:topLinePunct w:val="0"/>
              <w:autoSpaceDE/>
              <w:autoSpaceDN/>
              <w:bidi w:val="0"/>
              <w:adjustRightInd/>
              <w:snapToGrid/>
              <w:ind w:left="-53" w:leftChars="-25" w:right="-53" w:rightChars="-25"/>
              <w:textAlignment w:val="auto"/>
              <w:rPr>
                <w:rFonts w:ascii="仿宋" w:hAnsi="仿宋" w:eastAsia="仿宋" w:cs="宋体"/>
                <w:color w:val="auto"/>
                <w:kern w:val="0"/>
                <w:sz w:val="24"/>
                <w:szCs w:val="24"/>
              </w:rPr>
            </w:pPr>
            <w:r>
              <w:rPr>
                <w:rFonts w:hint="eastAsia" w:ascii="仿宋" w:hAnsi="仿宋" w:eastAsia="仿宋" w:cs="宋体"/>
                <w:color w:val="auto"/>
                <w:kern w:val="0"/>
                <w:sz w:val="24"/>
                <w:szCs w:val="24"/>
              </w:rPr>
              <w:t>序号</w:t>
            </w:r>
          </w:p>
        </w:tc>
        <w:tc>
          <w:tcPr>
            <w:tcW w:w="1078" w:type="dxa"/>
            <w:tcBorders>
              <w:tl2br w:val="nil"/>
              <w:tr2bl w:val="nil"/>
            </w:tcBorders>
            <w:noWrap w:val="0"/>
            <w:vAlign w:val="center"/>
          </w:tcPr>
          <w:p w14:paraId="17C5E8D0">
            <w:pPr>
              <w:widowControl/>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姓名</w:t>
            </w:r>
          </w:p>
        </w:tc>
        <w:tc>
          <w:tcPr>
            <w:tcW w:w="709" w:type="dxa"/>
            <w:tcBorders>
              <w:tl2br w:val="nil"/>
              <w:tr2bl w:val="nil"/>
            </w:tcBorders>
            <w:noWrap w:val="0"/>
            <w:vAlign w:val="center"/>
          </w:tcPr>
          <w:p w14:paraId="4AC613BD">
            <w:pPr>
              <w:widowControl/>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性别</w:t>
            </w:r>
          </w:p>
        </w:tc>
        <w:tc>
          <w:tcPr>
            <w:tcW w:w="851" w:type="dxa"/>
            <w:tcBorders>
              <w:tl2br w:val="nil"/>
              <w:tr2bl w:val="nil"/>
            </w:tcBorders>
            <w:noWrap w:val="0"/>
            <w:vAlign w:val="center"/>
          </w:tcPr>
          <w:p w14:paraId="416C5DAC">
            <w:pPr>
              <w:widowControl/>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学历</w:t>
            </w:r>
          </w:p>
        </w:tc>
        <w:tc>
          <w:tcPr>
            <w:tcW w:w="1080" w:type="dxa"/>
            <w:tcBorders>
              <w:tl2br w:val="nil"/>
              <w:tr2bl w:val="nil"/>
            </w:tcBorders>
            <w:noWrap w:val="0"/>
            <w:vAlign w:val="center"/>
          </w:tcPr>
          <w:p w14:paraId="188E3641">
            <w:pPr>
              <w:widowControl/>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专业工作年限</w:t>
            </w:r>
          </w:p>
        </w:tc>
        <w:tc>
          <w:tcPr>
            <w:tcW w:w="3042" w:type="dxa"/>
            <w:tcBorders>
              <w:tl2br w:val="nil"/>
              <w:tr2bl w:val="nil"/>
            </w:tcBorders>
            <w:noWrap w:val="0"/>
            <w:vAlign w:val="center"/>
          </w:tcPr>
          <w:p w14:paraId="40054A38">
            <w:pPr>
              <w:widowControl/>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职称或资格</w:t>
            </w:r>
          </w:p>
        </w:tc>
        <w:tc>
          <w:tcPr>
            <w:tcW w:w="1264" w:type="dxa"/>
            <w:tcBorders>
              <w:tl2br w:val="nil"/>
              <w:tr2bl w:val="nil"/>
            </w:tcBorders>
            <w:noWrap w:val="0"/>
            <w:vAlign w:val="center"/>
          </w:tcPr>
          <w:p w14:paraId="71F7A7E0">
            <w:pPr>
              <w:widowControl/>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拟派职务</w:t>
            </w:r>
          </w:p>
        </w:tc>
      </w:tr>
      <w:tr w14:paraId="15A595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6" w:hRule="atLeast"/>
        </w:trPr>
        <w:tc>
          <w:tcPr>
            <w:tcW w:w="613" w:type="dxa"/>
            <w:tcBorders>
              <w:tl2br w:val="nil"/>
              <w:tr2bl w:val="nil"/>
            </w:tcBorders>
            <w:noWrap w:val="0"/>
            <w:vAlign w:val="center"/>
          </w:tcPr>
          <w:p w14:paraId="09443ED8">
            <w:pPr>
              <w:widowControl/>
              <w:jc w:val="center"/>
              <w:rPr>
                <w:rFonts w:hint="eastAsia"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1</w:t>
            </w:r>
          </w:p>
        </w:tc>
        <w:tc>
          <w:tcPr>
            <w:tcW w:w="1078" w:type="dxa"/>
            <w:tcBorders>
              <w:tl2br w:val="nil"/>
              <w:tr2bl w:val="nil"/>
            </w:tcBorders>
            <w:noWrap w:val="0"/>
            <w:vAlign w:val="center"/>
          </w:tcPr>
          <w:p w14:paraId="0029B04C">
            <w:pPr>
              <w:widowControl/>
              <w:jc w:val="left"/>
              <w:rPr>
                <w:rFonts w:ascii="仿宋" w:hAnsi="仿宋" w:eastAsia="仿宋" w:cs="宋体"/>
                <w:color w:val="auto"/>
                <w:kern w:val="0"/>
                <w:sz w:val="24"/>
                <w:szCs w:val="24"/>
              </w:rPr>
            </w:pPr>
          </w:p>
        </w:tc>
        <w:tc>
          <w:tcPr>
            <w:tcW w:w="709" w:type="dxa"/>
            <w:tcBorders>
              <w:tl2br w:val="nil"/>
              <w:tr2bl w:val="nil"/>
            </w:tcBorders>
            <w:noWrap w:val="0"/>
            <w:vAlign w:val="center"/>
          </w:tcPr>
          <w:p w14:paraId="4B4F64F0">
            <w:pPr>
              <w:widowControl/>
              <w:jc w:val="left"/>
              <w:rPr>
                <w:rFonts w:ascii="仿宋" w:hAnsi="仿宋" w:eastAsia="仿宋" w:cs="宋体"/>
                <w:color w:val="auto"/>
                <w:kern w:val="0"/>
                <w:sz w:val="24"/>
                <w:szCs w:val="24"/>
              </w:rPr>
            </w:pPr>
          </w:p>
        </w:tc>
        <w:tc>
          <w:tcPr>
            <w:tcW w:w="851" w:type="dxa"/>
            <w:tcBorders>
              <w:tl2br w:val="nil"/>
              <w:tr2bl w:val="nil"/>
            </w:tcBorders>
            <w:noWrap w:val="0"/>
            <w:vAlign w:val="center"/>
          </w:tcPr>
          <w:p w14:paraId="7ABDA47B">
            <w:pPr>
              <w:widowControl/>
              <w:jc w:val="left"/>
              <w:rPr>
                <w:rFonts w:ascii="仿宋" w:hAnsi="仿宋" w:eastAsia="仿宋" w:cs="宋体"/>
                <w:color w:val="auto"/>
                <w:kern w:val="0"/>
                <w:sz w:val="18"/>
                <w:szCs w:val="18"/>
              </w:rPr>
            </w:pPr>
          </w:p>
        </w:tc>
        <w:tc>
          <w:tcPr>
            <w:tcW w:w="1080" w:type="dxa"/>
            <w:tcBorders>
              <w:tl2br w:val="nil"/>
              <w:tr2bl w:val="nil"/>
            </w:tcBorders>
            <w:noWrap w:val="0"/>
            <w:vAlign w:val="center"/>
          </w:tcPr>
          <w:p w14:paraId="322FB47C">
            <w:pPr>
              <w:widowControl/>
              <w:jc w:val="left"/>
              <w:rPr>
                <w:rFonts w:ascii="仿宋" w:hAnsi="仿宋" w:eastAsia="仿宋" w:cs="宋体"/>
                <w:color w:val="auto"/>
                <w:kern w:val="0"/>
                <w:sz w:val="24"/>
                <w:szCs w:val="24"/>
              </w:rPr>
            </w:pPr>
          </w:p>
        </w:tc>
        <w:tc>
          <w:tcPr>
            <w:tcW w:w="3042" w:type="dxa"/>
            <w:tcBorders>
              <w:tl2br w:val="nil"/>
              <w:tr2bl w:val="nil"/>
            </w:tcBorders>
            <w:noWrap w:val="0"/>
            <w:vAlign w:val="center"/>
          </w:tcPr>
          <w:p w14:paraId="1B8533AE">
            <w:pPr>
              <w:widowControl/>
              <w:rPr>
                <w:rFonts w:hint="eastAsia" w:ascii="仿宋" w:hAnsi="仿宋" w:eastAsia="仿宋" w:cs="宋体"/>
                <w:color w:val="auto"/>
                <w:kern w:val="0"/>
                <w:sz w:val="24"/>
                <w:szCs w:val="24"/>
              </w:rPr>
            </w:pPr>
          </w:p>
        </w:tc>
        <w:tc>
          <w:tcPr>
            <w:tcW w:w="1264" w:type="dxa"/>
            <w:tcBorders>
              <w:tl2br w:val="nil"/>
              <w:tr2bl w:val="nil"/>
            </w:tcBorders>
            <w:noWrap w:val="0"/>
            <w:vAlign w:val="center"/>
          </w:tcPr>
          <w:p w14:paraId="43B55EE5">
            <w:pPr>
              <w:widowControl/>
              <w:jc w:val="left"/>
              <w:rPr>
                <w:rFonts w:ascii="仿宋" w:hAnsi="仿宋" w:eastAsia="仿宋" w:cs="宋体"/>
                <w:color w:val="auto"/>
                <w:kern w:val="0"/>
                <w:sz w:val="24"/>
                <w:szCs w:val="24"/>
              </w:rPr>
            </w:pPr>
          </w:p>
        </w:tc>
      </w:tr>
      <w:tr w14:paraId="46E95F5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6" w:hRule="atLeast"/>
        </w:trPr>
        <w:tc>
          <w:tcPr>
            <w:tcW w:w="613" w:type="dxa"/>
            <w:tcBorders>
              <w:tl2br w:val="nil"/>
              <w:tr2bl w:val="nil"/>
            </w:tcBorders>
            <w:noWrap w:val="0"/>
            <w:vAlign w:val="center"/>
          </w:tcPr>
          <w:p w14:paraId="3F1922C2">
            <w:pPr>
              <w:widowControl/>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2</w:t>
            </w:r>
          </w:p>
        </w:tc>
        <w:tc>
          <w:tcPr>
            <w:tcW w:w="1078" w:type="dxa"/>
            <w:tcBorders>
              <w:tl2br w:val="nil"/>
              <w:tr2bl w:val="nil"/>
            </w:tcBorders>
            <w:noWrap w:val="0"/>
            <w:vAlign w:val="center"/>
          </w:tcPr>
          <w:p w14:paraId="03201A7C">
            <w:pPr>
              <w:widowControl/>
              <w:rPr>
                <w:rFonts w:hint="eastAsia" w:ascii="仿宋" w:hAnsi="仿宋" w:eastAsia="仿宋" w:cs="宋体"/>
                <w:color w:val="auto"/>
                <w:kern w:val="0"/>
                <w:sz w:val="24"/>
                <w:szCs w:val="24"/>
              </w:rPr>
            </w:pPr>
          </w:p>
        </w:tc>
        <w:tc>
          <w:tcPr>
            <w:tcW w:w="709" w:type="dxa"/>
            <w:tcBorders>
              <w:tl2br w:val="nil"/>
              <w:tr2bl w:val="nil"/>
            </w:tcBorders>
            <w:noWrap w:val="0"/>
            <w:vAlign w:val="center"/>
          </w:tcPr>
          <w:p w14:paraId="0107FDD7">
            <w:pPr>
              <w:widowControl/>
              <w:rPr>
                <w:rFonts w:hint="eastAsia" w:ascii="仿宋" w:hAnsi="仿宋" w:eastAsia="仿宋" w:cs="宋体"/>
                <w:color w:val="auto"/>
                <w:kern w:val="0"/>
                <w:sz w:val="24"/>
                <w:szCs w:val="24"/>
              </w:rPr>
            </w:pPr>
          </w:p>
        </w:tc>
        <w:tc>
          <w:tcPr>
            <w:tcW w:w="851" w:type="dxa"/>
            <w:tcBorders>
              <w:tl2br w:val="nil"/>
              <w:tr2bl w:val="nil"/>
            </w:tcBorders>
            <w:noWrap w:val="0"/>
            <w:vAlign w:val="center"/>
          </w:tcPr>
          <w:p w14:paraId="59DACEB0">
            <w:pPr>
              <w:widowControl/>
              <w:rPr>
                <w:rFonts w:hint="eastAsia" w:ascii="仿宋" w:hAnsi="仿宋" w:eastAsia="仿宋" w:cs="宋体"/>
                <w:color w:val="auto"/>
                <w:kern w:val="0"/>
                <w:sz w:val="24"/>
                <w:szCs w:val="24"/>
              </w:rPr>
            </w:pPr>
          </w:p>
        </w:tc>
        <w:tc>
          <w:tcPr>
            <w:tcW w:w="1080" w:type="dxa"/>
            <w:tcBorders>
              <w:tl2br w:val="nil"/>
              <w:tr2bl w:val="nil"/>
            </w:tcBorders>
            <w:noWrap w:val="0"/>
            <w:vAlign w:val="center"/>
          </w:tcPr>
          <w:p w14:paraId="7E2CB610">
            <w:pPr>
              <w:widowControl/>
              <w:jc w:val="center"/>
              <w:rPr>
                <w:rFonts w:hint="eastAsia" w:ascii="仿宋" w:hAnsi="仿宋" w:eastAsia="仿宋" w:cs="宋体"/>
                <w:color w:val="auto"/>
                <w:kern w:val="0"/>
                <w:sz w:val="24"/>
                <w:szCs w:val="24"/>
              </w:rPr>
            </w:pPr>
          </w:p>
        </w:tc>
        <w:tc>
          <w:tcPr>
            <w:tcW w:w="3042" w:type="dxa"/>
            <w:tcBorders>
              <w:tl2br w:val="nil"/>
              <w:tr2bl w:val="nil"/>
            </w:tcBorders>
            <w:noWrap w:val="0"/>
            <w:vAlign w:val="center"/>
          </w:tcPr>
          <w:p w14:paraId="250F97FC">
            <w:pPr>
              <w:widowControl/>
              <w:rPr>
                <w:rFonts w:hint="eastAsia" w:ascii="仿宋" w:hAnsi="仿宋" w:eastAsia="仿宋" w:cs="宋体"/>
                <w:color w:val="auto"/>
                <w:kern w:val="0"/>
                <w:sz w:val="24"/>
                <w:szCs w:val="24"/>
              </w:rPr>
            </w:pPr>
          </w:p>
        </w:tc>
        <w:tc>
          <w:tcPr>
            <w:tcW w:w="1264" w:type="dxa"/>
            <w:tcBorders>
              <w:tl2br w:val="nil"/>
              <w:tr2bl w:val="nil"/>
            </w:tcBorders>
            <w:noWrap w:val="0"/>
            <w:vAlign w:val="center"/>
          </w:tcPr>
          <w:p w14:paraId="485AB563">
            <w:pPr>
              <w:widowControl/>
              <w:rPr>
                <w:rFonts w:hint="eastAsia" w:ascii="仿宋" w:hAnsi="仿宋" w:eastAsia="仿宋" w:cs="宋体"/>
                <w:color w:val="auto"/>
                <w:kern w:val="0"/>
                <w:sz w:val="24"/>
                <w:szCs w:val="24"/>
              </w:rPr>
            </w:pPr>
          </w:p>
        </w:tc>
      </w:tr>
      <w:tr w14:paraId="2C327A1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6" w:hRule="atLeast"/>
        </w:trPr>
        <w:tc>
          <w:tcPr>
            <w:tcW w:w="613" w:type="dxa"/>
            <w:tcBorders>
              <w:tl2br w:val="nil"/>
              <w:tr2bl w:val="nil"/>
            </w:tcBorders>
            <w:noWrap w:val="0"/>
            <w:vAlign w:val="center"/>
          </w:tcPr>
          <w:p w14:paraId="7461FE3D">
            <w:pPr>
              <w:widowControl/>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3</w:t>
            </w:r>
          </w:p>
        </w:tc>
        <w:tc>
          <w:tcPr>
            <w:tcW w:w="1078" w:type="dxa"/>
            <w:tcBorders>
              <w:tl2br w:val="nil"/>
              <w:tr2bl w:val="nil"/>
            </w:tcBorders>
            <w:noWrap w:val="0"/>
            <w:vAlign w:val="center"/>
          </w:tcPr>
          <w:p w14:paraId="77BEED09">
            <w:pPr>
              <w:widowControl/>
              <w:rPr>
                <w:rFonts w:hint="eastAsia" w:ascii="仿宋" w:hAnsi="仿宋" w:eastAsia="仿宋" w:cs="宋体"/>
                <w:color w:val="auto"/>
                <w:kern w:val="0"/>
                <w:sz w:val="24"/>
                <w:szCs w:val="24"/>
              </w:rPr>
            </w:pPr>
          </w:p>
        </w:tc>
        <w:tc>
          <w:tcPr>
            <w:tcW w:w="709" w:type="dxa"/>
            <w:tcBorders>
              <w:tl2br w:val="nil"/>
              <w:tr2bl w:val="nil"/>
            </w:tcBorders>
            <w:noWrap w:val="0"/>
            <w:vAlign w:val="center"/>
          </w:tcPr>
          <w:p w14:paraId="17987C8E">
            <w:pPr>
              <w:widowControl/>
              <w:rPr>
                <w:rFonts w:hint="eastAsia" w:ascii="仿宋" w:hAnsi="仿宋" w:eastAsia="仿宋" w:cs="宋体"/>
                <w:color w:val="auto"/>
                <w:kern w:val="0"/>
                <w:sz w:val="24"/>
                <w:szCs w:val="24"/>
              </w:rPr>
            </w:pPr>
          </w:p>
        </w:tc>
        <w:tc>
          <w:tcPr>
            <w:tcW w:w="851" w:type="dxa"/>
            <w:tcBorders>
              <w:tl2br w:val="nil"/>
              <w:tr2bl w:val="nil"/>
            </w:tcBorders>
            <w:noWrap w:val="0"/>
            <w:vAlign w:val="center"/>
          </w:tcPr>
          <w:p w14:paraId="2B13BE11">
            <w:pPr>
              <w:widowControl/>
              <w:rPr>
                <w:rFonts w:hint="eastAsia" w:ascii="仿宋" w:hAnsi="仿宋" w:eastAsia="仿宋" w:cs="宋体"/>
                <w:color w:val="auto"/>
                <w:kern w:val="0"/>
                <w:sz w:val="24"/>
                <w:szCs w:val="24"/>
              </w:rPr>
            </w:pPr>
          </w:p>
        </w:tc>
        <w:tc>
          <w:tcPr>
            <w:tcW w:w="1080" w:type="dxa"/>
            <w:tcBorders>
              <w:tl2br w:val="nil"/>
              <w:tr2bl w:val="nil"/>
            </w:tcBorders>
            <w:noWrap w:val="0"/>
            <w:vAlign w:val="center"/>
          </w:tcPr>
          <w:p w14:paraId="479DC3BF">
            <w:pPr>
              <w:widowControl/>
              <w:jc w:val="center"/>
              <w:rPr>
                <w:rFonts w:hint="eastAsia" w:ascii="仿宋" w:hAnsi="仿宋" w:eastAsia="仿宋" w:cs="宋体"/>
                <w:color w:val="auto"/>
                <w:kern w:val="0"/>
                <w:sz w:val="24"/>
                <w:szCs w:val="24"/>
              </w:rPr>
            </w:pPr>
          </w:p>
        </w:tc>
        <w:tc>
          <w:tcPr>
            <w:tcW w:w="3042" w:type="dxa"/>
            <w:tcBorders>
              <w:tl2br w:val="nil"/>
              <w:tr2bl w:val="nil"/>
            </w:tcBorders>
            <w:noWrap w:val="0"/>
            <w:vAlign w:val="center"/>
          </w:tcPr>
          <w:p w14:paraId="2E8F9BD2">
            <w:pPr>
              <w:widowControl/>
              <w:rPr>
                <w:rFonts w:hint="eastAsia" w:ascii="仿宋" w:hAnsi="仿宋" w:eastAsia="仿宋" w:cs="宋体"/>
                <w:color w:val="auto"/>
                <w:kern w:val="0"/>
                <w:sz w:val="24"/>
                <w:szCs w:val="24"/>
              </w:rPr>
            </w:pPr>
          </w:p>
        </w:tc>
        <w:tc>
          <w:tcPr>
            <w:tcW w:w="1264" w:type="dxa"/>
            <w:tcBorders>
              <w:tl2br w:val="nil"/>
              <w:tr2bl w:val="nil"/>
            </w:tcBorders>
            <w:noWrap w:val="0"/>
            <w:vAlign w:val="center"/>
          </w:tcPr>
          <w:p w14:paraId="7CA54698">
            <w:pPr>
              <w:widowControl/>
              <w:rPr>
                <w:rFonts w:hint="eastAsia" w:ascii="仿宋" w:hAnsi="仿宋" w:eastAsia="仿宋" w:cs="宋体"/>
                <w:color w:val="auto"/>
                <w:kern w:val="0"/>
                <w:sz w:val="24"/>
                <w:szCs w:val="24"/>
              </w:rPr>
            </w:pPr>
          </w:p>
        </w:tc>
      </w:tr>
      <w:tr w14:paraId="4BBAD95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27" w:hRule="atLeast"/>
        </w:trPr>
        <w:tc>
          <w:tcPr>
            <w:tcW w:w="613" w:type="dxa"/>
            <w:tcBorders>
              <w:tl2br w:val="nil"/>
              <w:tr2bl w:val="nil"/>
            </w:tcBorders>
            <w:noWrap w:val="0"/>
            <w:vAlign w:val="center"/>
          </w:tcPr>
          <w:p w14:paraId="2B101F7E">
            <w:pPr>
              <w:widowControl/>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4</w:t>
            </w:r>
          </w:p>
        </w:tc>
        <w:tc>
          <w:tcPr>
            <w:tcW w:w="1078" w:type="dxa"/>
            <w:tcBorders>
              <w:tl2br w:val="nil"/>
              <w:tr2bl w:val="nil"/>
            </w:tcBorders>
            <w:noWrap w:val="0"/>
            <w:vAlign w:val="center"/>
          </w:tcPr>
          <w:p w14:paraId="46C7B4EB">
            <w:pPr>
              <w:widowControl/>
              <w:rPr>
                <w:rFonts w:hint="eastAsia" w:ascii="仿宋" w:hAnsi="仿宋" w:eastAsia="仿宋" w:cs="宋体"/>
                <w:color w:val="auto"/>
                <w:kern w:val="0"/>
                <w:sz w:val="24"/>
                <w:szCs w:val="24"/>
              </w:rPr>
            </w:pPr>
          </w:p>
        </w:tc>
        <w:tc>
          <w:tcPr>
            <w:tcW w:w="709" w:type="dxa"/>
            <w:tcBorders>
              <w:tl2br w:val="nil"/>
              <w:tr2bl w:val="nil"/>
            </w:tcBorders>
            <w:noWrap w:val="0"/>
            <w:vAlign w:val="center"/>
          </w:tcPr>
          <w:p w14:paraId="0A041ADF">
            <w:pPr>
              <w:widowControl/>
              <w:rPr>
                <w:rFonts w:hint="eastAsia" w:ascii="仿宋" w:hAnsi="仿宋" w:eastAsia="仿宋" w:cs="宋体"/>
                <w:color w:val="auto"/>
                <w:kern w:val="0"/>
                <w:sz w:val="24"/>
                <w:szCs w:val="24"/>
              </w:rPr>
            </w:pPr>
          </w:p>
        </w:tc>
        <w:tc>
          <w:tcPr>
            <w:tcW w:w="851" w:type="dxa"/>
            <w:tcBorders>
              <w:tl2br w:val="nil"/>
              <w:tr2bl w:val="nil"/>
            </w:tcBorders>
            <w:noWrap w:val="0"/>
            <w:vAlign w:val="center"/>
          </w:tcPr>
          <w:p w14:paraId="7C496CC7">
            <w:pPr>
              <w:widowControl/>
              <w:rPr>
                <w:rFonts w:hint="eastAsia" w:ascii="仿宋" w:hAnsi="仿宋" w:eastAsia="仿宋" w:cs="宋体"/>
                <w:color w:val="auto"/>
                <w:kern w:val="0"/>
                <w:sz w:val="24"/>
                <w:szCs w:val="24"/>
              </w:rPr>
            </w:pPr>
          </w:p>
        </w:tc>
        <w:tc>
          <w:tcPr>
            <w:tcW w:w="1080" w:type="dxa"/>
            <w:tcBorders>
              <w:tl2br w:val="nil"/>
              <w:tr2bl w:val="nil"/>
            </w:tcBorders>
            <w:noWrap w:val="0"/>
            <w:vAlign w:val="center"/>
          </w:tcPr>
          <w:p w14:paraId="0035D831">
            <w:pPr>
              <w:widowControl/>
              <w:jc w:val="center"/>
              <w:rPr>
                <w:rFonts w:hint="eastAsia" w:ascii="仿宋" w:hAnsi="仿宋" w:eastAsia="仿宋" w:cs="宋体"/>
                <w:color w:val="auto"/>
                <w:kern w:val="0"/>
                <w:sz w:val="24"/>
                <w:szCs w:val="24"/>
              </w:rPr>
            </w:pPr>
          </w:p>
        </w:tc>
        <w:tc>
          <w:tcPr>
            <w:tcW w:w="3042" w:type="dxa"/>
            <w:tcBorders>
              <w:tl2br w:val="nil"/>
              <w:tr2bl w:val="nil"/>
            </w:tcBorders>
            <w:noWrap w:val="0"/>
            <w:vAlign w:val="center"/>
          </w:tcPr>
          <w:p w14:paraId="49E1C194">
            <w:pPr>
              <w:widowControl/>
              <w:rPr>
                <w:rFonts w:hint="eastAsia" w:ascii="仿宋" w:hAnsi="仿宋" w:eastAsia="仿宋" w:cs="宋体"/>
                <w:color w:val="auto"/>
                <w:kern w:val="0"/>
                <w:sz w:val="24"/>
                <w:szCs w:val="24"/>
              </w:rPr>
            </w:pPr>
          </w:p>
        </w:tc>
        <w:tc>
          <w:tcPr>
            <w:tcW w:w="1264" w:type="dxa"/>
            <w:tcBorders>
              <w:tl2br w:val="nil"/>
              <w:tr2bl w:val="nil"/>
            </w:tcBorders>
            <w:noWrap w:val="0"/>
            <w:vAlign w:val="center"/>
          </w:tcPr>
          <w:p w14:paraId="194EC1A0">
            <w:pPr>
              <w:widowControl/>
              <w:rPr>
                <w:rFonts w:hint="eastAsia" w:ascii="仿宋" w:hAnsi="仿宋" w:eastAsia="仿宋" w:cs="宋体"/>
                <w:color w:val="auto"/>
                <w:kern w:val="0"/>
                <w:sz w:val="24"/>
                <w:szCs w:val="24"/>
              </w:rPr>
            </w:pPr>
          </w:p>
        </w:tc>
      </w:tr>
      <w:tr w14:paraId="7A34BD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27" w:hRule="atLeast"/>
        </w:trPr>
        <w:tc>
          <w:tcPr>
            <w:tcW w:w="613" w:type="dxa"/>
            <w:tcBorders>
              <w:tl2br w:val="nil"/>
              <w:tr2bl w:val="nil"/>
            </w:tcBorders>
            <w:noWrap w:val="0"/>
            <w:vAlign w:val="center"/>
          </w:tcPr>
          <w:p w14:paraId="2F428D02">
            <w:pPr>
              <w:widowControl/>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5</w:t>
            </w:r>
          </w:p>
        </w:tc>
        <w:tc>
          <w:tcPr>
            <w:tcW w:w="1078" w:type="dxa"/>
            <w:tcBorders>
              <w:tl2br w:val="nil"/>
              <w:tr2bl w:val="nil"/>
            </w:tcBorders>
            <w:noWrap w:val="0"/>
            <w:vAlign w:val="center"/>
          </w:tcPr>
          <w:p w14:paraId="0833FA17">
            <w:pPr>
              <w:widowControl/>
              <w:rPr>
                <w:rFonts w:hint="eastAsia" w:ascii="仿宋" w:hAnsi="仿宋" w:eastAsia="仿宋" w:cs="宋体"/>
                <w:color w:val="auto"/>
                <w:kern w:val="0"/>
                <w:sz w:val="24"/>
                <w:szCs w:val="24"/>
              </w:rPr>
            </w:pPr>
          </w:p>
        </w:tc>
        <w:tc>
          <w:tcPr>
            <w:tcW w:w="709" w:type="dxa"/>
            <w:tcBorders>
              <w:tl2br w:val="nil"/>
              <w:tr2bl w:val="nil"/>
            </w:tcBorders>
            <w:noWrap w:val="0"/>
            <w:vAlign w:val="center"/>
          </w:tcPr>
          <w:p w14:paraId="0E7B8CEC">
            <w:pPr>
              <w:widowControl/>
              <w:rPr>
                <w:rFonts w:hint="eastAsia" w:ascii="仿宋" w:hAnsi="仿宋" w:eastAsia="仿宋" w:cs="宋体"/>
                <w:color w:val="auto"/>
                <w:kern w:val="0"/>
                <w:sz w:val="24"/>
                <w:szCs w:val="24"/>
              </w:rPr>
            </w:pPr>
          </w:p>
        </w:tc>
        <w:tc>
          <w:tcPr>
            <w:tcW w:w="851" w:type="dxa"/>
            <w:tcBorders>
              <w:tl2br w:val="nil"/>
              <w:tr2bl w:val="nil"/>
            </w:tcBorders>
            <w:noWrap w:val="0"/>
            <w:vAlign w:val="center"/>
          </w:tcPr>
          <w:p w14:paraId="6C6D4658">
            <w:pPr>
              <w:widowControl/>
              <w:rPr>
                <w:rFonts w:hint="eastAsia" w:ascii="仿宋" w:hAnsi="仿宋" w:eastAsia="仿宋" w:cs="宋体"/>
                <w:color w:val="auto"/>
                <w:kern w:val="0"/>
                <w:sz w:val="24"/>
                <w:szCs w:val="24"/>
              </w:rPr>
            </w:pPr>
          </w:p>
        </w:tc>
        <w:tc>
          <w:tcPr>
            <w:tcW w:w="1080" w:type="dxa"/>
            <w:tcBorders>
              <w:tl2br w:val="nil"/>
              <w:tr2bl w:val="nil"/>
            </w:tcBorders>
            <w:noWrap w:val="0"/>
            <w:vAlign w:val="center"/>
          </w:tcPr>
          <w:p w14:paraId="678699BB">
            <w:pPr>
              <w:widowControl/>
              <w:jc w:val="center"/>
              <w:rPr>
                <w:rFonts w:hint="eastAsia" w:ascii="仿宋" w:hAnsi="仿宋" w:eastAsia="仿宋" w:cs="宋体"/>
                <w:color w:val="auto"/>
                <w:kern w:val="0"/>
                <w:sz w:val="24"/>
                <w:szCs w:val="24"/>
              </w:rPr>
            </w:pPr>
          </w:p>
        </w:tc>
        <w:tc>
          <w:tcPr>
            <w:tcW w:w="3042" w:type="dxa"/>
            <w:tcBorders>
              <w:tl2br w:val="nil"/>
              <w:tr2bl w:val="nil"/>
            </w:tcBorders>
            <w:noWrap w:val="0"/>
            <w:vAlign w:val="center"/>
          </w:tcPr>
          <w:p w14:paraId="5E2D3C73">
            <w:pPr>
              <w:widowControl/>
              <w:rPr>
                <w:rFonts w:hint="eastAsia" w:ascii="仿宋" w:hAnsi="仿宋" w:eastAsia="仿宋" w:cs="宋体"/>
                <w:color w:val="auto"/>
                <w:kern w:val="0"/>
                <w:sz w:val="24"/>
                <w:szCs w:val="24"/>
              </w:rPr>
            </w:pPr>
          </w:p>
        </w:tc>
        <w:tc>
          <w:tcPr>
            <w:tcW w:w="1264" w:type="dxa"/>
            <w:tcBorders>
              <w:tl2br w:val="nil"/>
              <w:tr2bl w:val="nil"/>
            </w:tcBorders>
            <w:noWrap w:val="0"/>
            <w:vAlign w:val="center"/>
          </w:tcPr>
          <w:p w14:paraId="48BE46BA">
            <w:pPr>
              <w:widowControl/>
              <w:rPr>
                <w:rFonts w:hint="eastAsia" w:ascii="仿宋" w:hAnsi="仿宋" w:eastAsia="仿宋" w:cs="宋体"/>
                <w:color w:val="auto"/>
                <w:kern w:val="0"/>
                <w:sz w:val="24"/>
                <w:szCs w:val="24"/>
              </w:rPr>
            </w:pPr>
          </w:p>
        </w:tc>
      </w:tr>
      <w:tr w14:paraId="3280BFB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27" w:hRule="atLeast"/>
        </w:trPr>
        <w:tc>
          <w:tcPr>
            <w:tcW w:w="613" w:type="dxa"/>
            <w:tcBorders>
              <w:tl2br w:val="nil"/>
              <w:tr2bl w:val="nil"/>
            </w:tcBorders>
            <w:noWrap w:val="0"/>
            <w:vAlign w:val="center"/>
          </w:tcPr>
          <w:p w14:paraId="6617E09D">
            <w:pPr>
              <w:widowControl/>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6</w:t>
            </w:r>
          </w:p>
        </w:tc>
        <w:tc>
          <w:tcPr>
            <w:tcW w:w="1078" w:type="dxa"/>
            <w:tcBorders>
              <w:tl2br w:val="nil"/>
              <w:tr2bl w:val="nil"/>
            </w:tcBorders>
            <w:noWrap w:val="0"/>
            <w:vAlign w:val="center"/>
          </w:tcPr>
          <w:p w14:paraId="6E9A30BD">
            <w:pPr>
              <w:widowControl/>
              <w:rPr>
                <w:rFonts w:hint="eastAsia" w:ascii="仿宋" w:hAnsi="仿宋" w:eastAsia="仿宋" w:cs="宋体"/>
                <w:color w:val="auto"/>
                <w:kern w:val="0"/>
                <w:sz w:val="24"/>
                <w:szCs w:val="24"/>
              </w:rPr>
            </w:pPr>
          </w:p>
        </w:tc>
        <w:tc>
          <w:tcPr>
            <w:tcW w:w="709" w:type="dxa"/>
            <w:tcBorders>
              <w:tl2br w:val="nil"/>
              <w:tr2bl w:val="nil"/>
            </w:tcBorders>
            <w:noWrap w:val="0"/>
            <w:vAlign w:val="center"/>
          </w:tcPr>
          <w:p w14:paraId="5DC6047A">
            <w:pPr>
              <w:widowControl/>
              <w:rPr>
                <w:rFonts w:hint="eastAsia" w:ascii="仿宋" w:hAnsi="仿宋" w:eastAsia="仿宋" w:cs="宋体"/>
                <w:color w:val="auto"/>
                <w:kern w:val="0"/>
                <w:sz w:val="24"/>
                <w:szCs w:val="24"/>
              </w:rPr>
            </w:pPr>
          </w:p>
        </w:tc>
        <w:tc>
          <w:tcPr>
            <w:tcW w:w="851" w:type="dxa"/>
            <w:tcBorders>
              <w:tl2br w:val="nil"/>
              <w:tr2bl w:val="nil"/>
            </w:tcBorders>
            <w:noWrap w:val="0"/>
            <w:vAlign w:val="center"/>
          </w:tcPr>
          <w:p w14:paraId="0EEE6849">
            <w:pPr>
              <w:widowControl/>
              <w:rPr>
                <w:rFonts w:hint="eastAsia" w:ascii="仿宋" w:hAnsi="仿宋" w:eastAsia="仿宋" w:cs="宋体"/>
                <w:color w:val="auto"/>
                <w:kern w:val="0"/>
                <w:sz w:val="24"/>
                <w:szCs w:val="24"/>
              </w:rPr>
            </w:pPr>
          </w:p>
        </w:tc>
        <w:tc>
          <w:tcPr>
            <w:tcW w:w="1080" w:type="dxa"/>
            <w:tcBorders>
              <w:tl2br w:val="nil"/>
              <w:tr2bl w:val="nil"/>
            </w:tcBorders>
            <w:noWrap w:val="0"/>
            <w:vAlign w:val="center"/>
          </w:tcPr>
          <w:p w14:paraId="5BC52CFA">
            <w:pPr>
              <w:widowControl/>
              <w:jc w:val="center"/>
              <w:rPr>
                <w:rFonts w:hint="eastAsia" w:ascii="仿宋" w:hAnsi="仿宋" w:eastAsia="仿宋" w:cs="宋体"/>
                <w:color w:val="auto"/>
                <w:kern w:val="0"/>
                <w:sz w:val="24"/>
                <w:szCs w:val="24"/>
              </w:rPr>
            </w:pPr>
          </w:p>
        </w:tc>
        <w:tc>
          <w:tcPr>
            <w:tcW w:w="3042" w:type="dxa"/>
            <w:tcBorders>
              <w:tl2br w:val="nil"/>
              <w:tr2bl w:val="nil"/>
            </w:tcBorders>
            <w:noWrap w:val="0"/>
            <w:vAlign w:val="center"/>
          </w:tcPr>
          <w:p w14:paraId="052C9586">
            <w:pPr>
              <w:widowControl/>
              <w:rPr>
                <w:rFonts w:hint="eastAsia" w:ascii="仿宋" w:hAnsi="仿宋" w:eastAsia="仿宋" w:cs="宋体"/>
                <w:color w:val="auto"/>
                <w:kern w:val="0"/>
                <w:sz w:val="24"/>
                <w:szCs w:val="24"/>
              </w:rPr>
            </w:pPr>
          </w:p>
        </w:tc>
        <w:tc>
          <w:tcPr>
            <w:tcW w:w="1264" w:type="dxa"/>
            <w:tcBorders>
              <w:tl2br w:val="nil"/>
              <w:tr2bl w:val="nil"/>
            </w:tcBorders>
            <w:noWrap w:val="0"/>
            <w:vAlign w:val="center"/>
          </w:tcPr>
          <w:p w14:paraId="77B2B6A8">
            <w:pPr>
              <w:widowControl/>
              <w:rPr>
                <w:rFonts w:hint="eastAsia" w:ascii="仿宋" w:hAnsi="仿宋" w:eastAsia="仿宋" w:cs="宋体"/>
                <w:color w:val="auto"/>
                <w:kern w:val="0"/>
                <w:sz w:val="24"/>
                <w:szCs w:val="24"/>
              </w:rPr>
            </w:pPr>
          </w:p>
        </w:tc>
      </w:tr>
    </w:tbl>
    <w:p w14:paraId="20BD6B40">
      <w:pPr>
        <w:autoSpaceDE w:val="0"/>
        <w:autoSpaceDN w:val="0"/>
        <w:adjustRightInd w:val="0"/>
        <w:snapToGrid w:val="0"/>
        <w:spacing w:before="156" w:beforeLines="50" w:line="520" w:lineRule="exact"/>
        <w:ind w:firstLine="482" w:firstLineChars="200"/>
        <w:rPr>
          <w:rFonts w:hint="eastAsia" w:ascii="黑体" w:hAnsi="黑体" w:eastAsia="黑体"/>
          <w:b/>
          <w:bCs/>
          <w:color w:val="auto"/>
          <w:sz w:val="24"/>
          <w:lang w:val="en-US" w:eastAsia="zh-CN"/>
        </w:rPr>
      </w:pPr>
    </w:p>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91A82B9-AD1D-4FBB-8F1A-264DAF4298A0}"/>
  </w:font>
  <w:font w:name="黑体">
    <w:panose1 w:val="02010609060101010101"/>
    <w:charset w:val="86"/>
    <w:family w:val="auto"/>
    <w:pitch w:val="default"/>
    <w:sig w:usb0="800002BF" w:usb1="38CF7CFA" w:usb2="00000016" w:usb3="00000000" w:csb0="00040001" w:csb1="00000000"/>
    <w:embedRegular r:id="rId2" w:fontKey="{3903AFCE-62E7-455E-A4DF-6FAED3A1B1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671685EC-EC31-4EE8-AFB5-EFFD7B007F45}"/>
  </w:font>
  <w:font w:name="方正小标宋_GBK">
    <w:panose1 w:val="03000509000000000000"/>
    <w:charset w:val="86"/>
    <w:family w:val="script"/>
    <w:pitch w:val="default"/>
    <w:sig w:usb0="00000001" w:usb1="080E0000" w:usb2="00000000" w:usb3="00000000" w:csb0="00040000" w:csb1="00000000"/>
    <w:embedRegular r:id="rId4" w:fontKey="{3A5D7BA6-4249-417A-A06E-2001AE3EBEC9}"/>
  </w:font>
  <w:font w:name="仿宋_GB2312">
    <w:panose1 w:val="02010609030101010101"/>
    <w:charset w:val="86"/>
    <w:family w:val="modern"/>
    <w:pitch w:val="default"/>
    <w:sig w:usb0="00000001" w:usb1="080E0000" w:usb2="00000000" w:usb3="00000000" w:csb0="00040000" w:csb1="00000000"/>
    <w:embedRegular r:id="rId5" w:fontKey="{05419339-2AF9-4FF6-8C2C-CC3D23A67E28}"/>
  </w:font>
  <w:font w:name="华文中宋">
    <w:panose1 w:val="02010600040101010101"/>
    <w:charset w:val="86"/>
    <w:family w:val="auto"/>
    <w:pitch w:val="default"/>
    <w:sig w:usb0="00000287" w:usb1="080F0000" w:usb2="00000000" w:usb3="00000000" w:csb0="0004009F" w:csb1="DFD70000"/>
    <w:embedRegular r:id="rId6" w:fontKey="{7420BAF8-A5AF-4621-81FE-7909E74DB7E8}"/>
  </w:font>
  <w:font w:name="Wingdings 2">
    <w:panose1 w:val="05020102010507070707"/>
    <w:charset w:val="02"/>
    <w:family w:val="roman"/>
    <w:pitch w:val="default"/>
    <w:sig w:usb0="00000000" w:usb1="00000000" w:usb2="00000000" w:usb3="00000000" w:csb0="80000000" w:csb1="00000000"/>
    <w:embedRegular r:id="rId7" w:fontKey="{618801BF-B733-4A13-A566-DBCA0B6E6A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A1EAD">
    <w:pPr>
      <w:pStyle w:val="4"/>
      <w:jc w:val="lef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85182D">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A85182D">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521B41AC">
                          <w:pPr>
                            <w:pStyle w:val="4"/>
                            <w:jc w:val="left"/>
                          </w:pPr>
                        </w:p>
                        <w:p w14:paraId="22EAA076"/>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Hl1RCnRAQAApAMAAA4AAAAAAAAAAQAgAAAAHgEAAGRy&#10;cy9lMm9Eb2MueG1sUEsFBgAAAAAGAAYAWQEAAGEFAAAAAA==&#10;">
              <v:fill on="f" focussize="0,0"/>
              <v:stroke on="f"/>
              <v:imagedata o:title=""/>
              <o:lock v:ext="edit" aspectratio="f"/>
              <v:textbox inset="0mm,0mm,0mm,0mm" style="mso-fit-shape-to-text:t;">
                <w:txbxContent>
                  <w:p w14:paraId="521B41AC">
                    <w:pPr>
                      <w:pStyle w:val="4"/>
                      <w:jc w:val="left"/>
                    </w:pPr>
                  </w:p>
                  <w:p w14:paraId="22EAA076"/>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2DEE0">
    <w:pPr>
      <w:pStyle w:val="4"/>
      <w:jc w:val="lef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864ADC">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9864ADC">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826767A">
                          <w:pPr>
                            <w:pStyle w:val="4"/>
                            <w:jc w:val="left"/>
                          </w:pPr>
                        </w:p>
                        <w:p w14:paraId="2AB09A28"/>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PO5ICLRAQAAogMAAA4AAAAAAAAAAQAgAAAAHgEAAGRy&#10;cy9lMm9Eb2MueG1sUEsFBgAAAAAGAAYAWQEAAGEFAAAAAA==&#10;">
              <v:fill on="f" focussize="0,0"/>
              <v:stroke on="f"/>
              <v:imagedata o:title=""/>
              <o:lock v:ext="edit" aspectratio="f"/>
              <v:textbox inset="0mm,0mm,0mm,0mm" style="mso-fit-shape-to-text:t;">
                <w:txbxContent>
                  <w:p w14:paraId="0826767A">
                    <w:pPr>
                      <w:pStyle w:val="4"/>
                      <w:jc w:val="left"/>
                    </w:pPr>
                  </w:p>
                  <w:p w14:paraId="2AB09A28"/>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69E90B49"/>
    <w:rsid w:val="00195569"/>
    <w:rsid w:val="008C6C96"/>
    <w:rsid w:val="00E02E24"/>
    <w:rsid w:val="00EF1351"/>
    <w:rsid w:val="010A6538"/>
    <w:rsid w:val="0136732D"/>
    <w:rsid w:val="016D4EAD"/>
    <w:rsid w:val="01FF0067"/>
    <w:rsid w:val="02F9471E"/>
    <w:rsid w:val="03227F67"/>
    <w:rsid w:val="034566BC"/>
    <w:rsid w:val="03ED2572"/>
    <w:rsid w:val="040354C1"/>
    <w:rsid w:val="044F3A40"/>
    <w:rsid w:val="065E601D"/>
    <w:rsid w:val="06976C0F"/>
    <w:rsid w:val="069D0748"/>
    <w:rsid w:val="075F6D8D"/>
    <w:rsid w:val="07E9689C"/>
    <w:rsid w:val="08757E1C"/>
    <w:rsid w:val="089A4646"/>
    <w:rsid w:val="090B4308"/>
    <w:rsid w:val="091066B6"/>
    <w:rsid w:val="09710A71"/>
    <w:rsid w:val="09D26108"/>
    <w:rsid w:val="09DA31D3"/>
    <w:rsid w:val="0AB063A2"/>
    <w:rsid w:val="0AC736EC"/>
    <w:rsid w:val="0ADE4913"/>
    <w:rsid w:val="0AF73FD1"/>
    <w:rsid w:val="0B1428C1"/>
    <w:rsid w:val="0B8514E7"/>
    <w:rsid w:val="0B8F4AD5"/>
    <w:rsid w:val="0C8573BB"/>
    <w:rsid w:val="0D0E0397"/>
    <w:rsid w:val="0E356551"/>
    <w:rsid w:val="0E3A5F83"/>
    <w:rsid w:val="0E795ACD"/>
    <w:rsid w:val="0EA738D2"/>
    <w:rsid w:val="0EBC4BEA"/>
    <w:rsid w:val="0F8C6CB2"/>
    <w:rsid w:val="1017657C"/>
    <w:rsid w:val="101D790A"/>
    <w:rsid w:val="107D345A"/>
    <w:rsid w:val="10EC5C5A"/>
    <w:rsid w:val="10F7015B"/>
    <w:rsid w:val="121F05A6"/>
    <w:rsid w:val="12AC38F3"/>
    <w:rsid w:val="132B413A"/>
    <w:rsid w:val="143C565E"/>
    <w:rsid w:val="14942ED1"/>
    <w:rsid w:val="149D13A3"/>
    <w:rsid w:val="15900748"/>
    <w:rsid w:val="159742AC"/>
    <w:rsid w:val="15B7583E"/>
    <w:rsid w:val="165255A9"/>
    <w:rsid w:val="16855E11"/>
    <w:rsid w:val="17044DFD"/>
    <w:rsid w:val="184C6541"/>
    <w:rsid w:val="185D5292"/>
    <w:rsid w:val="18D05E62"/>
    <w:rsid w:val="18F2402A"/>
    <w:rsid w:val="19353F17"/>
    <w:rsid w:val="1A160DD3"/>
    <w:rsid w:val="1A204BC7"/>
    <w:rsid w:val="1A475BBD"/>
    <w:rsid w:val="1B7A3E63"/>
    <w:rsid w:val="1B9238A2"/>
    <w:rsid w:val="1BAE50A8"/>
    <w:rsid w:val="1BED0AD9"/>
    <w:rsid w:val="1BFB1448"/>
    <w:rsid w:val="1C161DDD"/>
    <w:rsid w:val="1C336C77"/>
    <w:rsid w:val="1DBE6B87"/>
    <w:rsid w:val="1DC238AD"/>
    <w:rsid w:val="1DE531E9"/>
    <w:rsid w:val="1E74103D"/>
    <w:rsid w:val="1FEC7F10"/>
    <w:rsid w:val="206C2914"/>
    <w:rsid w:val="20A34C1D"/>
    <w:rsid w:val="222E0CB1"/>
    <w:rsid w:val="22552F34"/>
    <w:rsid w:val="231132FF"/>
    <w:rsid w:val="235356C5"/>
    <w:rsid w:val="23717DFA"/>
    <w:rsid w:val="23841D23"/>
    <w:rsid w:val="24264B88"/>
    <w:rsid w:val="252A72C7"/>
    <w:rsid w:val="264D464E"/>
    <w:rsid w:val="26610965"/>
    <w:rsid w:val="26BB5A5B"/>
    <w:rsid w:val="26FD2518"/>
    <w:rsid w:val="27093C7A"/>
    <w:rsid w:val="2753169F"/>
    <w:rsid w:val="278E2496"/>
    <w:rsid w:val="2920429C"/>
    <w:rsid w:val="292A6EC8"/>
    <w:rsid w:val="293908A2"/>
    <w:rsid w:val="29417E34"/>
    <w:rsid w:val="295F3FB8"/>
    <w:rsid w:val="29733BB6"/>
    <w:rsid w:val="297C429B"/>
    <w:rsid w:val="2B00054B"/>
    <w:rsid w:val="2BA72CFC"/>
    <w:rsid w:val="2CA17774"/>
    <w:rsid w:val="2DBB3DC5"/>
    <w:rsid w:val="2DED6716"/>
    <w:rsid w:val="2E330CEB"/>
    <w:rsid w:val="2ECB36E5"/>
    <w:rsid w:val="2F8527E9"/>
    <w:rsid w:val="2FE36023"/>
    <w:rsid w:val="2FFA4DF2"/>
    <w:rsid w:val="30656A38"/>
    <w:rsid w:val="309A373C"/>
    <w:rsid w:val="3137032B"/>
    <w:rsid w:val="3162372E"/>
    <w:rsid w:val="31E0281A"/>
    <w:rsid w:val="32191E0F"/>
    <w:rsid w:val="32C73234"/>
    <w:rsid w:val="32FE0DF7"/>
    <w:rsid w:val="339E0707"/>
    <w:rsid w:val="33B51A84"/>
    <w:rsid w:val="34DA3E98"/>
    <w:rsid w:val="359A7184"/>
    <w:rsid w:val="35E11256"/>
    <w:rsid w:val="35FF5561"/>
    <w:rsid w:val="36025F88"/>
    <w:rsid w:val="366E4D24"/>
    <w:rsid w:val="37274A59"/>
    <w:rsid w:val="375515B4"/>
    <w:rsid w:val="37DE3C9F"/>
    <w:rsid w:val="38123949"/>
    <w:rsid w:val="38547C0B"/>
    <w:rsid w:val="387463B2"/>
    <w:rsid w:val="39627E0C"/>
    <w:rsid w:val="3992755D"/>
    <w:rsid w:val="3A9B7C26"/>
    <w:rsid w:val="3AF954D7"/>
    <w:rsid w:val="3B583D69"/>
    <w:rsid w:val="3B8561E0"/>
    <w:rsid w:val="3B985F13"/>
    <w:rsid w:val="3C265C15"/>
    <w:rsid w:val="3C330E21"/>
    <w:rsid w:val="3C5B0CDE"/>
    <w:rsid w:val="3C9F1C48"/>
    <w:rsid w:val="3CA67A3E"/>
    <w:rsid w:val="3CB46D7D"/>
    <w:rsid w:val="3CDA66B9"/>
    <w:rsid w:val="3D0A7413"/>
    <w:rsid w:val="3D1123AF"/>
    <w:rsid w:val="3D740AE4"/>
    <w:rsid w:val="3DA20B02"/>
    <w:rsid w:val="3DBA51E3"/>
    <w:rsid w:val="3E391743"/>
    <w:rsid w:val="3E817133"/>
    <w:rsid w:val="3FDB2873"/>
    <w:rsid w:val="406B3BF6"/>
    <w:rsid w:val="41127E91"/>
    <w:rsid w:val="41941DFC"/>
    <w:rsid w:val="41B8730F"/>
    <w:rsid w:val="41D852BC"/>
    <w:rsid w:val="43056584"/>
    <w:rsid w:val="43217136"/>
    <w:rsid w:val="4365531A"/>
    <w:rsid w:val="437D6727"/>
    <w:rsid w:val="43A54EFC"/>
    <w:rsid w:val="44202F4A"/>
    <w:rsid w:val="443133A9"/>
    <w:rsid w:val="44801914"/>
    <w:rsid w:val="4550160D"/>
    <w:rsid w:val="458A0FC3"/>
    <w:rsid w:val="45F66658"/>
    <w:rsid w:val="46003033"/>
    <w:rsid w:val="467622D4"/>
    <w:rsid w:val="46D87B0C"/>
    <w:rsid w:val="472563E4"/>
    <w:rsid w:val="481770D1"/>
    <w:rsid w:val="488E2B78"/>
    <w:rsid w:val="48AE321A"/>
    <w:rsid w:val="494055D5"/>
    <w:rsid w:val="497003A2"/>
    <w:rsid w:val="499F60FC"/>
    <w:rsid w:val="49BF6D61"/>
    <w:rsid w:val="49C00EC9"/>
    <w:rsid w:val="49F41101"/>
    <w:rsid w:val="4A7D4C52"/>
    <w:rsid w:val="4B2B2900"/>
    <w:rsid w:val="4B6B53F2"/>
    <w:rsid w:val="4BA95E00"/>
    <w:rsid w:val="4BCD4DA7"/>
    <w:rsid w:val="4CC052CA"/>
    <w:rsid w:val="4CE30FB8"/>
    <w:rsid w:val="4D2E2B7B"/>
    <w:rsid w:val="4DBA7F6B"/>
    <w:rsid w:val="4E300C3C"/>
    <w:rsid w:val="4E6B60F4"/>
    <w:rsid w:val="4EFE20DA"/>
    <w:rsid w:val="4F3B50DC"/>
    <w:rsid w:val="4F6C798B"/>
    <w:rsid w:val="4F6F4D85"/>
    <w:rsid w:val="4FE70DC0"/>
    <w:rsid w:val="50011E81"/>
    <w:rsid w:val="50D03E52"/>
    <w:rsid w:val="50DB26D2"/>
    <w:rsid w:val="513444D8"/>
    <w:rsid w:val="51F87826"/>
    <w:rsid w:val="523B270B"/>
    <w:rsid w:val="54D23DEC"/>
    <w:rsid w:val="54FD7FD1"/>
    <w:rsid w:val="555E38D2"/>
    <w:rsid w:val="55821CB6"/>
    <w:rsid w:val="55A41C2D"/>
    <w:rsid w:val="55BF7E07"/>
    <w:rsid w:val="55FA0FDF"/>
    <w:rsid w:val="56AA3DFF"/>
    <w:rsid w:val="56BF414D"/>
    <w:rsid w:val="582C6358"/>
    <w:rsid w:val="588B002B"/>
    <w:rsid w:val="58DA7189"/>
    <w:rsid w:val="59BE699D"/>
    <w:rsid w:val="59FA68DA"/>
    <w:rsid w:val="5A6A4AC7"/>
    <w:rsid w:val="5ABA3CA0"/>
    <w:rsid w:val="5AF02F69"/>
    <w:rsid w:val="5AFE4EC9"/>
    <w:rsid w:val="5B5F03A4"/>
    <w:rsid w:val="5CD76E92"/>
    <w:rsid w:val="5D465377"/>
    <w:rsid w:val="5DD306C2"/>
    <w:rsid w:val="5E0D40E7"/>
    <w:rsid w:val="5F4355CF"/>
    <w:rsid w:val="60B269F3"/>
    <w:rsid w:val="60E801A3"/>
    <w:rsid w:val="61120392"/>
    <w:rsid w:val="61952A3A"/>
    <w:rsid w:val="62020CCE"/>
    <w:rsid w:val="62066B5F"/>
    <w:rsid w:val="622163B3"/>
    <w:rsid w:val="622F287E"/>
    <w:rsid w:val="62856942"/>
    <w:rsid w:val="64020817"/>
    <w:rsid w:val="6485109A"/>
    <w:rsid w:val="65CA1FF4"/>
    <w:rsid w:val="65D914CF"/>
    <w:rsid w:val="66081D64"/>
    <w:rsid w:val="66812481"/>
    <w:rsid w:val="68464DC5"/>
    <w:rsid w:val="686B482C"/>
    <w:rsid w:val="68994EF5"/>
    <w:rsid w:val="694766FF"/>
    <w:rsid w:val="696E0130"/>
    <w:rsid w:val="69AF4AE9"/>
    <w:rsid w:val="69E90B49"/>
    <w:rsid w:val="6A1E78CE"/>
    <w:rsid w:val="6A3C1FDC"/>
    <w:rsid w:val="6AD30543"/>
    <w:rsid w:val="6B054AC4"/>
    <w:rsid w:val="6B207313"/>
    <w:rsid w:val="6B4D1FC7"/>
    <w:rsid w:val="6B781786"/>
    <w:rsid w:val="6BC77FCB"/>
    <w:rsid w:val="6BCA3618"/>
    <w:rsid w:val="6BCC1DAA"/>
    <w:rsid w:val="6CA43E69"/>
    <w:rsid w:val="6D480C98"/>
    <w:rsid w:val="6E421AA8"/>
    <w:rsid w:val="6E661D1D"/>
    <w:rsid w:val="6E717E07"/>
    <w:rsid w:val="70472144"/>
    <w:rsid w:val="705F0618"/>
    <w:rsid w:val="70963B91"/>
    <w:rsid w:val="71196446"/>
    <w:rsid w:val="715C7408"/>
    <w:rsid w:val="717F04ED"/>
    <w:rsid w:val="71856318"/>
    <w:rsid w:val="721910BE"/>
    <w:rsid w:val="724F0D1A"/>
    <w:rsid w:val="72646F2B"/>
    <w:rsid w:val="729B4FBF"/>
    <w:rsid w:val="73374D00"/>
    <w:rsid w:val="74732A9E"/>
    <w:rsid w:val="748C043A"/>
    <w:rsid w:val="74E97204"/>
    <w:rsid w:val="764E2556"/>
    <w:rsid w:val="765F4872"/>
    <w:rsid w:val="76FC1FA3"/>
    <w:rsid w:val="77405FA2"/>
    <w:rsid w:val="778E4B3B"/>
    <w:rsid w:val="77A06C6D"/>
    <w:rsid w:val="77B26FDC"/>
    <w:rsid w:val="78CF7A38"/>
    <w:rsid w:val="78F0295F"/>
    <w:rsid w:val="794252D9"/>
    <w:rsid w:val="799D56A0"/>
    <w:rsid w:val="79B03A96"/>
    <w:rsid w:val="7A1E7EE2"/>
    <w:rsid w:val="7A471F88"/>
    <w:rsid w:val="7AD9414B"/>
    <w:rsid w:val="7B422BD9"/>
    <w:rsid w:val="7C1E0D98"/>
    <w:rsid w:val="7CA73C2D"/>
    <w:rsid w:val="7CC90AFD"/>
    <w:rsid w:val="7CE34539"/>
    <w:rsid w:val="7CF16C56"/>
    <w:rsid w:val="7D9C3A99"/>
    <w:rsid w:val="7DA8331F"/>
    <w:rsid w:val="7DC51E91"/>
    <w:rsid w:val="7EA76396"/>
    <w:rsid w:val="7EC363D0"/>
    <w:rsid w:val="7F2826D7"/>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tabs>
        <w:tab w:val="left" w:pos="0"/>
      </w:tabs>
      <w:spacing w:line="360" w:lineRule="auto"/>
      <w:ind w:firstLine="482" w:firstLineChars="200"/>
      <w:outlineLvl w:val="0"/>
    </w:pPr>
    <w:rPr>
      <w:rFonts w:ascii="黑体" w:hAnsi="黑体" w:eastAsia="黑体"/>
      <w:b/>
      <w:sz w:val="24"/>
      <w:szCs w:val="2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01"/>
    <w:basedOn w:val="8"/>
    <w:qFormat/>
    <w:uiPriority w:val="0"/>
    <w:rPr>
      <w:rFonts w:hint="eastAsia" w:ascii="宋体" w:hAnsi="宋体" w:eastAsia="宋体" w:cs="宋体"/>
      <w:color w:val="000000"/>
      <w:sz w:val="24"/>
      <w:szCs w:val="24"/>
      <w:u w:val="none"/>
    </w:rPr>
  </w:style>
  <w:style w:type="paragraph" w:customStyle="1" w:styleId="10">
    <w:name w:val="附注二级正文"/>
    <w:basedOn w:val="1"/>
    <w:qFormat/>
    <w:uiPriority w:val="0"/>
    <w:pPr>
      <w:adjustRightInd w:val="0"/>
      <w:snapToGrid w:val="0"/>
      <w:spacing w:line="398" w:lineRule="auto"/>
      <w:ind w:left="718" w:leftChars="342"/>
    </w:pPr>
    <w:rPr>
      <w:rFonts w:ascii="宋体" w:hAnsi="宋体"/>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10030</Words>
  <Characters>10559</Characters>
  <Lines>0</Lines>
  <Paragraphs>0</Paragraphs>
  <TotalTime>1</TotalTime>
  <ScaleCrop>false</ScaleCrop>
  <LinksUpToDate>false</LinksUpToDate>
  <CharactersWithSpaces>10843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2019-02-18T02:29:00Z</dcterms:created>
  <dc:creator>LENOVO</dc:creator>
  <cp:lastModifiedBy>Lui啊lui</cp:lastModifiedBy>
  <cp:lastPrinted>2020-03-31T07:33:00Z</cp:lastPrinted>
  <dcterms:modified xsi:type="dcterms:W3CDTF">2025-07-04T01:28:33Z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6BC331DD9BA54D55935111862B646B60_13</vt:lpwstr>
  </property>
  <property fmtid="{D5CDD505-2E9C-101B-9397-08002B2CF9AE}" pid="4" name="KSOTemplateDocerSaveRecord">
    <vt:lpwstr>eyJoZGlkIjoiZTlhYjUzOGJjNmFkMWRjOWVhNWUyMDljYWI5NjFlNzUiLCJ1c2VySWQiOiI1NTk0MDgxNjcifQ==</vt:lpwstr>
  </property>
</Properties>
</file>